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C134B6" w:rsidRDefault="009413BC" w:rsidP="00344FA3">
      <w:pPr>
        <w:tabs>
          <w:tab w:val="left" w:pos="216"/>
        </w:tabs>
        <w:spacing w:after="0" w:line="240" w:lineRule="auto"/>
        <w:ind w:left="70"/>
        <w:rPr>
          <w:rFonts w:ascii="Calibri" w:eastAsia="Times New Roman" w:hAnsi="Calibri" w:cs="Times New Roman"/>
          <w:b/>
          <w:bCs/>
          <w:sz w:val="28"/>
          <w:szCs w:val="28"/>
        </w:rPr>
      </w:pPr>
      <w:r w:rsidRPr="00C134B6">
        <w:rPr>
          <w:rFonts w:ascii="Calibri" w:eastAsia="Times New Roman" w:hAnsi="Calibri" w:cs="Times New Roman"/>
          <w:b/>
          <w:bCs/>
          <w:sz w:val="28"/>
          <w:szCs w:val="28"/>
        </w:rPr>
        <w:t xml:space="preserve">Validación de la </w:t>
      </w:r>
      <w:r w:rsidRPr="00C134B6">
        <w:rPr>
          <w:rFonts w:ascii="Calibri" w:eastAsia="Times New Roman" w:hAnsi="Calibri" w:cs="Times New Roman"/>
          <w:b/>
          <w:bCs/>
          <w:sz w:val="28"/>
          <w:szCs w:val="28"/>
          <w:u w:val="single"/>
        </w:rPr>
        <w:t xml:space="preserve">TABLA DE APLICABILIDAD </w:t>
      </w:r>
      <w:r w:rsidR="00EC4B47" w:rsidRPr="00C134B6">
        <w:rPr>
          <w:rFonts w:ascii="Calibri" w:eastAsia="Times New Roman" w:hAnsi="Calibri" w:cs="Times New Roman"/>
          <w:b/>
          <w:bCs/>
          <w:sz w:val="28"/>
          <w:szCs w:val="28"/>
        </w:rPr>
        <w:t xml:space="preserve">de las obligaciones de </w:t>
      </w:r>
      <w:r w:rsidR="00340C27" w:rsidRPr="00C134B6">
        <w:rPr>
          <w:rFonts w:ascii="Calibri" w:eastAsia="Times New Roman" w:hAnsi="Calibri" w:cs="Times New Roman"/>
          <w:b/>
          <w:bCs/>
          <w:sz w:val="28"/>
          <w:szCs w:val="28"/>
        </w:rPr>
        <w:t>Transparencias comunes</w:t>
      </w:r>
      <w:r w:rsidRPr="00C134B6">
        <w:rPr>
          <w:rFonts w:ascii="Calibri" w:eastAsia="Times New Roman" w:hAnsi="Calibri" w:cs="Times New Roman"/>
          <w:b/>
          <w:bCs/>
          <w:sz w:val="28"/>
          <w:szCs w:val="28"/>
        </w:rPr>
        <w:t xml:space="preserve"> del</w:t>
      </w:r>
      <w:r w:rsidR="00EC4B47" w:rsidRPr="00C134B6">
        <w:rPr>
          <w:rFonts w:ascii="Calibri" w:eastAsia="Times New Roman" w:hAnsi="Calibri" w:cs="Times New Roman"/>
          <w:b/>
          <w:bCs/>
          <w:sz w:val="28"/>
          <w:szCs w:val="28"/>
        </w:rPr>
        <w:t xml:space="preserve"> </w:t>
      </w:r>
      <w:r w:rsidRPr="00C134B6">
        <w:rPr>
          <w:rFonts w:ascii="Calibri" w:eastAsia="Times New Roman" w:hAnsi="Calibri" w:cs="Times New Roman"/>
          <w:b/>
          <w:bCs/>
          <w:sz w:val="28"/>
          <w:szCs w:val="28"/>
        </w:rPr>
        <w:t>Poder Ejecutivo</w:t>
      </w:r>
    </w:p>
    <w:p w:rsidR="009413BC" w:rsidRPr="00C134B6" w:rsidRDefault="009413BC" w:rsidP="00C44B0C">
      <w:pPr>
        <w:tabs>
          <w:tab w:val="left" w:pos="216"/>
        </w:tabs>
        <w:spacing w:after="0" w:line="240" w:lineRule="auto"/>
        <w:ind w:left="70"/>
        <w:jc w:val="both"/>
        <w:rPr>
          <w:rFonts w:ascii="Calibri" w:eastAsia="Times New Roman" w:hAnsi="Calibri" w:cs="Times New Roman"/>
          <w:b/>
          <w:bCs/>
          <w:sz w:val="28"/>
          <w:szCs w:val="28"/>
        </w:rPr>
      </w:pPr>
    </w:p>
    <w:p w:rsidR="009413BC" w:rsidRPr="00C134B6" w:rsidRDefault="009413BC" w:rsidP="00C44B0C">
      <w:pPr>
        <w:tabs>
          <w:tab w:val="left" w:pos="216"/>
        </w:tabs>
        <w:spacing w:after="0" w:line="240" w:lineRule="auto"/>
        <w:ind w:left="70"/>
        <w:jc w:val="both"/>
        <w:rPr>
          <w:rFonts w:ascii="Calibri" w:eastAsia="Times New Roman" w:hAnsi="Calibri" w:cs="Times New Roman"/>
          <w:b/>
          <w:bCs/>
          <w:sz w:val="28"/>
          <w:szCs w:val="28"/>
          <w:u w:val="single"/>
        </w:rPr>
      </w:pPr>
      <w:r w:rsidRPr="00C134B6">
        <w:rPr>
          <w:rFonts w:ascii="Calibri" w:eastAsia="Times New Roman" w:hAnsi="Calibri" w:cs="Times New Roman"/>
          <w:b/>
          <w:bCs/>
          <w:sz w:val="28"/>
          <w:szCs w:val="28"/>
        </w:rPr>
        <w:t>Depen</w:t>
      </w:r>
      <w:r w:rsidR="005118AD" w:rsidRPr="00C134B6">
        <w:rPr>
          <w:rFonts w:ascii="Calibri" w:eastAsia="Times New Roman" w:hAnsi="Calibri" w:cs="Times New Roman"/>
          <w:b/>
          <w:bCs/>
          <w:sz w:val="28"/>
          <w:szCs w:val="28"/>
        </w:rPr>
        <w:t xml:space="preserve">dencia o entidad: </w:t>
      </w:r>
      <w:r w:rsidR="00340C27" w:rsidRPr="00C134B6">
        <w:rPr>
          <w:rFonts w:ascii="Calibri" w:eastAsia="Times New Roman" w:hAnsi="Calibri" w:cs="Times New Roman"/>
          <w:b/>
          <w:bCs/>
          <w:sz w:val="28"/>
          <w:szCs w:val="28"/>
          <w:u w:val="single"/>
        </w:rPr>
        <w:t>Representación del Gobierno del Estado de Oaxaca en el Distrito Federal</w:t>
      </w:r>
    </w:p>
    <w:p w:rsidR="009413BC" w:rsidRPr="00C134B6" w:rsidRDefault="009413BC" w:rsidP="00C44B0C">
      <w:pPr>
        <w:tabs>
          <w:tab w:val="left" w:pos="216"/>
        </w:tabs>
        <w:spacing w:after="0" w:line="240" w:lineRule="auto"/>
        <w:ind w:left="70"/>
        <w:jc w:val="both"/>
        <w:rPr>
          <w:rFonts w:ascii="Calibri" w:eastAsia="Times New Roman" w:hAnsi="Calibri" w:cs="Times New Roman"/>
          <w:b/>
          <w:bCs/>
          <w:sz w:val="28"/>
          <w:szCs w:val="28"/>
        </w:rPr>
      </w:pPr>
    </w:p>
    <w:tbl>
      <w:tblPr>
        <w:tblStyle w:val="Tablaconcuadrcula"/>
        <w:tblW w:w="0" w:type="auto"/>
        <w:tblInd w:w="959" w:type="dxa"/>
        <w:tblLook w:val="04A0" w:firstRow="1" w:lastRow="0" w:firstColumn="1" w:lastColumn="0" w:noHBand="0" w:noVBand="1"/>
      </w:tblPr>
      <w:tblGrid>
        <w:gridCol w:w="6937"/>
        <w:gridCol w:w="5395"/>
      </w:tblGrid>
      <w:tr w:rsidR="00C134B6" w:rsidRPr="00C134B6" w:rsidTr="00BC5021">
        <w:trPr>
          <w:trHeight w:val="249"/>
        </w:trPr>
        <w:tc>
          <w:tcPr>
            <w:tcW w:w="6937" w:type="dxa"/>
            <w:shd w:val="clear" w:color="auto" w:fill="D6E3BC" w:themeFill="accent3" w:themeFillTint="66"/>
            <w:vAlign w:val="center"/>
          </w:tcPr>
          <w:p w:rsidR="009413BC" w:rsidRPr="00C134B6" w:rsidRDefault="009413BC" w:rsidP="00C44B0C">
            <w:pPr>
              <w:tabs>
                <w:tab w:val="left" w:pos="216"/>
              </w:tabs>
              <w:ind w:left="70"/>
              <w:jc w:val="both"/>
              <w:rPr>
                <w:rFonts w:ascii="Calibri" w:eastAsia="Times New Roman" w:hAnsi="Calibri" w:cs="Times New Roman"/>
                <w:b/>
                <w:bCs/>
                <w:sz w:val="24"/>
                <w:szCs w:val="24"/>
              </w:rPr>
            </w:pPr>
            <w:r w:rsidRPr="00C134B6">
              <w:rPr>
                <w:rFonts w:ascii="Calibri" w:eastAsia="Times New Roman" w:hAnsi="Calibri" w:cs="Times New Roman"/>
                <w:b/>
                <w:bCs/>
                <w:sz w:val="24"/>
                <w:szCs w:val="24"/>
              </w:rPr>
              <w:t>Tipo de Sujeto obligado:</w:t>
            </w:r>
          </w:p>
        </w:tc>
        <w:tc>
          <w:tcPr>
            <w:tcW w:w="5395" w:type="dxa"/>
            <w:shd w:val="clear" w:color="auto" w:fill="D6E3BC" w:themeFill="accent3" w:themeFillTint="66"/>
            <w:vAlign w:val="center"/>
          </w:tcPr>
          <w:p w:rsidR="009413BC" w:rsidRPr="00C134B6" w:rsidRDefault="009413BC" w:rsidP="00C44B0C">
            <w:pPr>
              <w:tabs>
                <w:tab w:val="left" w:pos="216"/>
              </w:tabs>
              <w:jc w:val="both"/>
              <w:rPr>
                <w:rFonts w:ascii="Calibri" w:eastAsia="Times New Roman" w:hAnsi="Calibri" w:cs="Times New Roman"/>
                <w:b/>
                <w:bCs/>
                <w:sz w:val="24"/>
                <w:szCs w:val="24"/>
              </w:rPr>
            </w:pPr>
            <w:r w:rsidRPr="00C134B6">
              <w:rPr>
                <w:rFonts w:ascii="Calibri" w:eastAsia="Times New Roman" w:hAnsi="Calibri" w:cs="Times New Roman"/>
                <w:b/>
                <w:bCs/>
                <w:sz w:val="24"/>
                <w:szCs w:val="24"/>
              </w:rPr>
              <w:t>Documento de origen:</w:t>
            </w:r>
          </w:p>
        </w:tc>
      </w:tr>
      <w:tr w:rsidR="00C134B6" w:rsidRPr="00C134B6" w:rsidTr="00BC5021">
        <w:trPr>
          <w:trHeight w:val="319"/>
        </w:trPr>
        <w:tc>
          <w:tcPr>
            <w:tcW w:w="6937" w:type="dxa"/>
          </w:tcPr>
          <w:p w:rsidR="009413BC" w:rsidRPr="00C134B6" w:rsidRDefault="009413BC" w:rsidP="00C44B0C">
            <w:pPr>
              <w:tabs>
                <w:tab w:val="left" w:pos="216"/>
              </w:tabs>
              <w:jc w:val="both"/>
              <w:rPr>
                <w:rFonts w:ascii="Calibri" w:eastAsia="Times New Roman" w:hAnsi="Calibri" w:cs="Times New Roman"/>
                <w:b/>
                <w:bCs/>
                <w:sz w:val="24"/>
                <w:szCs w:val="24"/>
              </w:rPr>
            </w:pPr>
            <w:r w:rsidRPr="00C134B6">
              <w:rPr>
                <w:rFonts w:ascii="Calibri" w:eastAsia="Times New Roman" w:hAnsi="Calibri" w:cs="Times New Roman"/>
                <w:b/>
                <w:bCs/>
                <w:sz w:val="24"/>
                <w:szCs w:val="24"/>
              </w:rPr>
              <w:t>Administración Centralizada</w:t>
            </w:r>
          </w:p>
        </w:tc>
        <w:tc>
          <w:tcPr>
            <w:tcW w:w="5395" w:type="dxa"/>
          </w:tcPr>
          <w:p w:rsidR="009413BC" w:rsidRPr="00C134B6" w:rsidRDefault="00D03E75" w:rsidP="00C44B0C">
            <w:pPr>
              <w:tabs>
                <w:tab w:val="left" w:pos="216"/>
              </w:tabs>
              <w:jc w:val="both"/>
              <w:rPr>
                <w:rFonts w:ascii="Calibri" w:eastAsia="Times New Roman" w:hAnsi="Calibri" w:cs="Times New Roman"/>
                <w:b/>
                <w:bCs/>
                <w:sz w:val="24"/>
                <w:szCs w:val="24"/>
              </w:rPr>
            </w:pPr>
            <w:r w:rsidRPr="00C134B6">
              <w:rPr>
                <w:rFonts w:ascii="Calibri" w:eastAsia="Times New Roman" w:hAnsi="Calibri" w:cs="Times New Roman"/>
                <w:b/>
                <w:bCs/>
                <w:sz w:val="24"/>
                <w:szCs w:val="24"/>
              </w:rPr>
              <w:t>Ley Orgánica del Poder Ejecutivo del Estado de Oaxaca</w:t>
            </w:r>
            <w:r w:rsidR="00340C27" w:rsidRPr="00C134B6">
              <w:rPr>
                <w:rFonts w:ascii="Calibri" w:eastAsia="Times New Roman" w:hAnsi="Calibri" w:cs="Times New Roman"/>
                <w:b/>
                <w:bCs/>
                <w:sz w:val="24"/>
                <w:szCs w:val="24"/>
              </w:rPr>
              <w:t>, Artículo 33 y 54</w:t>
            </w:r>
            <w:r w:rsidRPr="00C134B6">
              <w:rPr>
                <w:rFonts w:ascii="Calibri" w:eastAsia="Times New Roman" w:hAnsi="Calibri" w:cs="Times New Roman"/>
                <w:b/>
                <w:bCs/>
                <w:sz w:val="24"/>
                <w:szCs w:val="24"/>
              </w:rPr>
              <w:t xml:space="preserve">. Órgano Auxiliar </w:t>
            </w:r>
          </w:p>
        </w:tc>
      </w:tr>
      <w:tr w:rsidR="00C134B6" w:rsidRPr="00C134B6" w:rsidTr="00BC5021">
        <w:trPr>
          <w:trHeight w:val="156"/>
        </w:trPr>
        <w:tc>
          <w:tcPr>
            <w:tcW w:w="6937" w:type="dxa"/>
          </w:tcPr>
          <w:p w:rsidR="009413BC" w:rsidRPr="00C134B6" w:rsidRDefault="009413BC" w:rsidP="00C44B0C">
            <w:pPr>
              <w:tabs>
                <w:tab w:val="left" w:pos="216"/>
              </w:tabs>
              <w:jc w:val="both"/>
              <w:rPr>
                <w:rFonts w:ascii="Calibri" w:eastAsia="Times New Roman" w:hAnsi="Calibri" w:cs="Times New Roman"/>
                <w:b/>
                <w:bCs/>
                <w:sz w:val="24"/>
                <w:szCs w:val="24"/>
              </w:rPr>
            </w:pPr>
            <w:r w:rsidRPr="00C134B6">
              <w:rPr>
                <w:rFonts w:ascii="Calibri" w:eastAsia="Times New Roman" w:hAnsi="Calibri" w:cs="Times New Roman"/>
                <w:b/>
                <w:bCs/>
                <w:sz w:val="24"/>
                <w:szCs w:val="24"/>
              </w:rPr>
              <w:t>Desconcentrado</w:t>
            </w:r>
          </w:p>
        </w:tc>
        <w:tc>
          <w:tcPr>
            <w:tcW w:w="5395" w:type="dxa"/>
          </w:tcPr>
          <w:p w:rsidR="009413BC" w:rsidRPr="00C134B6" w:rsidRDefault="009413BC" w:rsidP="00C44B0C">
            <w:pPr>
              <w:tabs>
                <w:tab w:val="left" w:pos="216"/>
              </w:tabs>
              <w:jc w:val="both"/>
              <w:rPr>
                <w:rFonts w:ascii="Calibri" w:eastAsia="Times New Roman" w:hAnsi="Calibri" w:cs="Times New Roman"/>
                <w:b/>
                <w:bCs/>
                <w:sz w:val="24"/>
                <w:szCs w:val="24"/>
              </w:rPr>
            </w:pPr>
          </w:p>
        </w:tc>
      </w:tr>
      <w:tr w:rsidR="00C134B6" w:rsidRPr="00C134B6" w:rsidTr="00BC5021">
        <w:trPr>
          <w:trHeight w:val="156"/>
        </w:trPr>
        <w:tc>
          <w:tcPr>
            <w:tcW w:w="6937" w:type="dxa"/>
          </w:tcPr>
          <w:p w:rsidR="009413BC" w:rsidRPr="00C134B6" w:rsidRDefault="009413BC" w:rsidP="00C44B0C">
            <w:pPr>
              <w:tabs>
                <w:tab w:val="left" w:pos="216"/>
              </w:tabs>
              <w:jc w:val="both"/>
              <w:rPr>
                <w:rFonts w:ascii="Calibri" w:eastAsia="Times New Roman" w:hAnsi="Calibri" w:cs="Times New Roman"/>
                <w:b/>
                <w:bCs/>
                <w:sz w:val="24"/>
                <w:szCs w:val="24"/>
              </w:rPr>
            </w:pPr>
            <w:r w:rsidRPr="00C134B6">
              <w:rPr>
                <w:rFonts w:ascii="Calibri" w:eastAsia="Times New Roman" w:hAnsi="Calibri" w:cs="Times New Roman"/>
                <w:b/>
                <w:bCs/>
                <w:sz w:val="24"/>
                <w:szCs w:val="24"/>
              </w:rPr>
              <w:t>Descentralizado</w:t>
            </w:r>
          </w:p>
        </w:tc>
        <w:tc>
          <w:tcPr>
            <w:tcW w:w="5395" w:type="dxa"/>
          </w:tcPr>
          <w:p w:rsidR="009413BC" w:rsidRPr="00C134B6" w:rsidRDefault="009413BC" w:rsidP="00C44B0C">
            <w:pPr>
              <w:tabs>
                <w:tab w:val="left" w:pos="216"/>
              </w:tabs>
              <w:jc w:val="both"/>
              <w:rPr>
                <w:rFonts w:ascii="Calibri" w:eastAsia="Times New Roman" w:hAnsi="Calibri" w:cs="Times New Roman"/>
                <w:b/>
                <w:bCs/>
                <w:sz w:val="24"/>
                <w:szCs w:val="24"/>
              </w:rPr>
            </w:pPr>
          </w:p>
        </w:tc>
      </w:tr>
      <w:tr w:rsidR="00C134B6" w:rsidRPr="00C134B6" w:rsidTr="00BC5021">
        <w:trPr>
          <w:trHeight w:val="312"/>
        </w:trPr>
        <w:tc>
          <w:tcPr>
            <w:tcW w:w="6937" w:type="dxa"/>
          </w:tcPr>
          <w:p w:rsidR="009413BC" w:rsidRPr="00C134B6" w:rsidRDefault="009413BC" w:rsidP="00C44B0C">
            <w:pPr>
              <w:tabs>
                <w:tab w:val="left" w:pos="216"/>
              </w:tabs>
              <w:jc w:val="both"/>
              <w:rPr>
                <w:rFonts w:ascii="Calibri" w:eastAsia="Times New Roman" w:hAnsi="Calibri" w:cs="Times New Roman"/>
                <w:b/>
                <w:bCs/>
                <w:sz w:val="24"/>
                <w:szCs w:val="24"/>
              </w:rPr>
            </w:pPr>
            <w:r w:rsidRPr="00C134B6">
              <w:rPr>
                <w:rFonts w:ascii="Calibri" w:eastAsia="Times New Roman" w:hAnsi="Calibri" w:cs="Times New Roman"/>
                <w:b/>
                <w:bCs/>
                <w:sz w:val="24"/>
                <w:szCs w:val="24"/>
              </w:rPr>
              <w:t>Empresa de Participación Estatal Mayoritaria</w:t>
            </w:r>
          </w:p>
        </w:tc>
        <w:tc>
          <w:tcPr>
            <w:tcW w:w="5395" w:type="dxa"/>
          </w:tcPr>
          <w:p w:rsidR="009413BC" w:rsidRPr="00C134B6" w:rsidRDefault="009413BC" w:rsidP="00C44B0C">
            <w:pPr>
              <w:tabs>
                <w:tab w:val="left" w:pos="216"/>
              </w:tabs>
              <w:jc w:val="both"/>
              <w:rPr>
                <w:rFonts w:ascii="Calibri" w:eastAsia="Times New Roman" w:hAnsi="Calibri" w:cs="Times New Roman"/>
                <w:b/>
                <w:bCs/>
                <w:sz w:val="24"/>
                <w:szCs w:val="24"/>
              </w:rPr>
            </w:pPr>
          </w:p>
        </w:tc>
      </w:tr>
      <w:tr w:rsidR="009413BC" w:rsidRPr="00C134B6" w:rsidTr="00BC5021">
        <w:trPr>
          <w:trHeight w:val="163"/>
        </w:trPr>
        <w:tc>
          <w:tcPr>
            <w:tcW w:w="6937" w:type="dxa"/>
          </w:tcPr>
          <w:p w:rsidR="009413BC" w:rsidRPr="00C134B6" w:rsidRDefault="009413BC" w:rsidP="00C44B0C">
            <w:pPr>
              <w:tabs>
                <w:tab w:val="left" w:pos="216"/>
              </w:tabs>
              <w:jc w:val="both"/>
              <w:rPr>
                <w:rFonts w:ascii="Calibri" w:eastAsia="Times New Roman" w:hAnsi="Calibri" w:cs="Times New Roman"/>
                <w:b/>
                <w:bCs/>
                <w:sz w:val="24"/>
                <w:szCs w:val="24"/>
              </w:rPr>
            </w:pPr>
            <w:r w:rsidRPr="00C134B6">
              <w:rPr>
                <w:rFonts w:ascii="Calibri" w:eastAsia="Times New Roman" w:hAnsi="Calibri" w:cs="Times New Roman"/>
                <w:b/>
                <w:bCs/>
                <w:sz w:val="24"/>
                <w:szCs w:val="24"/>
              </w:rPr>
              <w:t>Fideicomisos, Fondos y Mandatos</w:t>
            </w:r>
          </w:p>
        </w:tc>
        <w:tc>
          <w:tcPr>
            <w:tcW w:w="5395" w:type="dxa"/>
          </w:tcPr>
          <w:p w:rsidR="009413BC" w:rsidRPr="00C134B6" w:rsidRDefault="009413BC" w:rsidP="00C44B0C">
            <w:pPr>
              <w:tabs>
                <w:tab w:val="left" w:pos="216"/>
              </w:tabs>
              <w:jc w:val="both"/>
              <w:rPr>
                <w:rFonts w:ascii="Calibri" w:eastAsia="Times New Roman" w:hAnsi="Calibri" w:cs="Times New Roman"/>
                <w:b/>
                <w:bCs/>
                <w:sz w:val="24"/>
                <w:szCs w:val="24"/>
              </w:rPr>
            </w:pPr>
          </w:p>
        </w:tc>
      </w:tr>
    </w:tbl>
    <w:p w:rsidR="009413BC" w:rsidRPr="00C134B6" w:rsidRDefault="009413BC" w:rsidP="00C44B0C">
      <w:pPr>
        <w:tabs>
          <w:tab w:val="left" w:pos="216"/>
        </w:tabs>
        <w:spacing w:after="0" w:line="240" w:lineRule="auto"/>
        <w:ind w:left="70"/>
        <w:jc w:val="both"/>
        <w:rPr>
          <w:rFonts w:ascii="Calibri" w:eastAsia="Times New Roman" w:hAnsi="Calibri" w:cs="Times New Roman"/>
          <w:b/>
          <w:bCs/>
          <w:sz w:val="32"/>
          <w:szCs w:val="24"/>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1541"/>
        <w:gridCol w:w="2693"/>
        <w:gridCol w:w="1276"/>
        <w:gridCol w:w="1559"/>
        <w:gridCol w:w="1275"/>
      </w:tblGrid>
      <w:tr w:rsidR="00C134B6" w:rsidRPr="00C134B6" w:rsidTr="00D522F8">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9413BC" w:rsidRPr="00C134B6" w:rsidRDefault="009413BC" w:rsidP="00C44B0C">
            <w:pPr>
              <w:spacing w:after="0" w:line="240" w:lineRule="auto"/>
              <w:jc w:val="both"/>
              <w:rPr>
                <w:rFonts w:eastAsia="Times New Roman" w:cs="Times New Roman"/>
                <w:b/>
                <w:sz w:val="20"/>
                <w:szCs w:val="20"/>
              </w:rPr>
            </w:pPr>
            <w:r w:rsidRPr="00C134B6">
              <w:rPr>
                <w:rFonts w:eastAsia="Times New Roman" w:cs="Times New Roman"/>
                <w:b/>
                <w:sz w:val="20"/>
                <w:szCs w:val="20"/>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hideMark/>
          </w:tcPr>
          <w:p w:rsidR="009413BC" w:rsidRPr="00C134B6" w:rsidRDefault="009413BC" w:rsidP="00C44B0C">
            <w:pPr>
              <w:spacing w:after="0" w:line="240" w:lineRule="auto"/>
              <w:jc w:val="both"/>
              <w:rPr>
                <w:rFonts w:eastAsia="Times New Roman" w:cs="Times New Roman"/>
                <w:b/>
                <w:sz w:val="20"/>
                <w:szCs w:val="20"/>
              </w:rPr>
            </w:pPr>
            <w:r w:rsidRPr="00C134B6">
              <w:rPr>
                <w:rFonts w:eastAsia="Times New Roman" w:cs="Times New Roman"/>
                <w:b/>
                <w:sz w:val="20"/>
                <w:szCs w:val="20"/>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tcPr>
          <w:p w:rsidR="009413BC" w:rsidRPr="00C134B6" w:rsidRDefault="009413BC" w:rsidP="00C44B0C">
            <w:pPr>
              <w:spacing w:after="0" w:line="240" w:lineRule="auto"/>
              <w:jc w:val="both"/>
              <w:rPr>
                <w:rFonts w:eastAsia="Times New Roman" w:cs="Times New Roman"/>
                <w:b/>
                <w:sz w:val="20"/>
                <w:szCs w:val="20"/>
              </w:rPr>
            </w:pPr>
            <w:r w:rsidRPr="00C134B6">
              <w:rPr>
                <w:rFonts w:eastAsia="Times New Roman" w:cs="Times New Roman"/>
                <w:b/>
                <w:sz w:val="20"/>
                <w:szCs w:val="20"/>
              </w:rPr>
              <w:t>APLICA/NO APLICA</w:t>
            </w:r>
          </w:p>
        </w:tc>
        <w:tc>
          <w:tcPr>
            <w:tcW w:w="1541" w:type="dxa"/>
            <w:tcBorders>
              <w:top w:val="single" w:sz="4" w:space="0" w:color="auto"/>
              <w:left w:val="nil"/>
              <w:bottom w:val="single" w:sz="4" w:space="0" w:color="auto"/>
              <w:right w:val="single" w:sz="4" w:space="0" w:color="auto"/>
            </w:tcBorders>
            <w:shd w:val="clear" w:color="auto" w:fill="D6E3BC" w:themeFill="accent3" w:themeFillTint="66"/>
          </w:tcPr>
          <w:p w:rsidR="009413BC" w:rsidRPr="00C134B6" w:rsidRDefault="009413BC" w:rsidP="00C44B0C">
            <w:pPr>
              <w:spacing w:after="0" w:line="240" w:lineRule="auto"/>
              <w:jc w:val="both"/>
              <w:rPr>
                <w:rFonts w:eastAsia="Times New Roman" w:cs="Times New Roman"/>
                <w:b/>
                <w:sz w:val="20"/>
                <w:szCs w:val="20"/>
              </w:rPr>
            </w:pPr>
            <w:r w:rsidRPr="00C134B6">
              <w:rPr>
                <w:rFonts w:eastAsia="Times New Roman" w:cs="Times New Roman"/>
                <w:b/>
                <w:sz w:val="20"/>
                <w:szCs w:val="20"/>
              </w:rPr>
              <w:t>MOTIVACIÓN</w:t>
            </w:r>
          </w:p>
        </w:tc>
        <w:tc>
          <w:tcPr>
            <w:tcW w:w="2693" w:type="dxa"/>
            <w:tcBorders>
              <w:top w:val="single" w:sz="4" w:space="0" w:color="auto"/>
              <w:left w:val="nil"/>
              <w:bottom w:val="single" w:sz="4" w:space="0" w:color="auto"/>
              <w:right w:val="single" w:sz="4" w:space="0" w:color="auto"/>
            </w:tcBorders>
            <w:shd w:val="clear" w:color="auto" w:fill="D6E3BC" w:themeFill="accent3" w:themeFillTint="66"/>
          </w:tcPr>
          <w:p w:rsidR="009413BC" w:rsidRPr="00C134B6" w:rsidRDefault="009413BC" w:rsidP="00C44B0C">
            <w:pPr>
              <w:spacing w:after="0" w:line="240" w:lineRule="auto"/>
              <w:jc w:val="both"/>
              <w:rPr>
                <w:rFonts w:eastAsia="Times New Roman" w:cs="Times New Roman"/>
                <w:b/>
                <w:sz w:val="20"/>
                <w:szCs w:val="20"/>
              </w:rPr>
            </w:pPr>
            <w:r w:rsidRPr="00C134B6">
              <w:rPr>
                <w:rFonts w:eastAsia="Times New Roman" w:cs="Times New Roman"/>
                <w:b/>
                <w:sz w:val="20"/>
                <w:szCs w:val="20"/>
              </w:rPr>
              <w:t>FUNDAMENTO</w:t>
            </w:r>
          </w:p>
        </w:tc>
        <w:tc>
          <w:tcPr>
            <w:tcW w:w="1276" w:type="dxa"/>
            <w:tcBorders>
              <w:top w:val="single" w:sz="4" w:space="0" w:color="auto"/>
              <w:left w:val="nil"/>
              <w:bottom w:val="single" w:sz="4" w:space="0" w:color="auto"/>
              <w:right w:val="single" w:sz="4" w:space="0" w:color="auto"/>
            </w:tcBorders>
            <w:shd w:val="clear" w:color="auto" w:fill="D6E3BC" w:themeFill="accent3" w:themeFillTint="66"/>
          </w:tcPr>
          <w:p w:rsidR="009413BC" w:rsidRPr="00C134B6" w:rsidRDefault="009413BC" w:rsidP="00C44B0C">
            <w:pPr>
              <w:spacing w:after="0" w:line="240" w:lineRule="auto"/>
              <w:jc w:val="both"/>
              <w:rPr>
                <w:rFonts w:eastAsia="Times New Roman" w:cs="Times New Roman"/>
                <w:b/>
                <w:sz w:val="20"/>
                <w:szCs w:val="20"/>
              </w:rPr>
            </w:pPr>
            <w:r w:rsidRPr="00C134B6">
              <w:rPr>
                <w:rFonts w:eastAsia="Times New Roman" w:cs="Times New Roman"/>
                <w:b/>
                <w:sz w:val="16"/>
                <w:szCs w:val="20"/>
              </w:rPr>
              <w:t>UNIDAD ADMINISTRATIVA RESPONSABLE DE GENERAR LA INFORMACIÓN</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413BC" w:rsidRPr="00C134B6" w:rsidRDefault="009413BC" w:rsidP="00C44B0C">
            <w:pPr>
              <w:spacing w:after="0" w:line="240" w:lineRule="auto"/>
              <w:jc w:val="both"/>
              <w:rPr>
                <w:rFonts w:eastAsia="Times New Roman" w:cs="Times New Roman"/>
                <w:b/>
                <w:sz w:val="20"/>
                <w:szCs w:val="20"/>
              </w:rPr>
            </w:pPr>
            <w:r w:rsidRPr="00C134B6">
              <w:rPr>
                <w:rFonts w:eastAsia="Times New Roman" w:cs="Times New Roman"/>
                <w:b/>
                <w:sz w:val="20"/>
                <w:szCs w:val="20"/>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413BC" w:rsidRPr="00C134B6" w:rsidRDefault="009413BC" w:rsidP="00C44B0C">
            <w:pPr>
              <w:spacing w:after="0" w:line="240" w:lineRule="auto"/>
              <w:jc w:val="both"/>
              <w:rPr>
                <w:rFonts w:eastAsia="Times New Roman" w:cs="Times New Roman"/>
                <w:b/>
                <w:sz w:val="20"/>
                <w:szCs w:val="20"/>
              </w:rPr>
            </w:pPr>
            <w:r w:rsidRPr="00C134B6">
              <w:rPr>
                <w:rFonts w:eastAsia="Times New Roman" w:cs="Times New Roman"/>
                <w:b/>
                <w:sz w:val="20"/>
                <w:szCs w:val="20"/>
              </w:rPr>
              <w:t>VALIDACIÓN IAIP</w:t>
            </w:r>
          </w:p>
        </w:tc>
      </w:tr>
      <w:tr w:rsidR="00C134B6" w:rsidRPr="00C134B6" w:rsidTr="00C134B6">
        <w:trPr>
          <w:trHeight w:val="768"/>
        </w:trPr>
        <w:tc>
          <w:tcPr>
            <w:tcW w:w="1346" w:type="dxa"/>
            <w:vMerge w:val="restart"/>
            <w:tcBorders>
              <w:top w:val="single" w:sz="4" w:space="0" w:color="auto"/>
              <w:left w:val="single" w:sz="4" w:space="0" w:color="auto"/>
              <w:right w:val="single" w:sz="4" w:space="0" w:color="auto"/>
            </w:tcBorders>
            <w:shd w:val="clear" w:color="auto" w:fill="auto"/>
            <w:hideMark/>
          </w:tcPr>
          <w:p w:rsidR="009413BC" w:rsidRPr="00C134B6" w:rsidRDefault="009413BC"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t xml:space="preserve">En la Ley Federal y de las Entidades Federativas se contemplará que los sujetos obligados pongan a disposición del público y mantengan actualizada, en los respectivos </w:t>
            </w:r>
            <w:r w:rsidRPr="00C134B6">
              <w:rPr>
                <w:rFonts w:eastAsia="Times New Roman" w:cs="Times New Roman"/>
                <w:i/>
                <w:iCs/>
                <w:sz w:val="18"/>
                <w:szCs w:val="18"/>
              </w:rPr>
              <w:lastRenderedPageBreak/>
              <w:t>medios electrónicos, de acuerdo con sus facultades, atribuciones, funciones u objeto social, según corresponda, la información, por lo menos, de los temas, documentos y políticas que a continuación se señalan:</w:t>
            </w:r>
          </w:p>
          <w:p w:rsidR="009413BC" w:rsidRPr="00C134B6" w:rsidRDefault="009413BC" w:rsidP="00C44B0C">
            <w:pPr>
              <w:spacing w:after="0" w:line="240" w:lineRule="auto"/>
              <w:jc w:val="both"/>
              <w:rPr>
                <w:rFonts w:eastAsia="Times New Roman" w:cs="Times New Roman"/>
                <w:i/>
                <w:iCs/>
                <w:sz w:val="18"/>
                <w:szCs w:val="18"/>
              </w:rPr>
            </w:pPr>
            <w:r w:rsidRPr="00C134B6">
              <w:rPr>
                <w:rFonts w:eastAsia="Times New Roman" w:cs="Times New Roman"/>
                <w:i/>
                <w:iCs/>
                <w:sz w:val="18"/>
                <w:szCs w:val="18"/>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C134B6" w:rsidRDefault="009413BC"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 xml:space="preserve">Fracción I </w:t>
            </w:r>
            <w:r w:rsidRPr="00C134B6">
              <w:rPr>
                <w:rFonts w:eastAsia="Times New Roman" w:cs="Times New Roman"/>
                <w:i/>
                <w:iCs/>
                <w:sz w:val="18"/>
                <w:szCs w:val="18"/>
              </w:rPr>
              <w:t>El marco normativo aplicable al sujeto obligado, en el que deberá incluirse leyes, códigos, reglamentos, decretos de creación, manuales administrativos, reglas de operación, criterios, políticas, entre otros;</w:t>
            </w:r>
          </w:p>
          <w:p w:rsidR="009413BC" w:rsidRPr="00C134B6" w:rsidRDefault="009413BC" w:rsidP="00C44B0C">
            <w:pPr>
              <w:spacing w:after="0" w:line="240" w:lineRule="auto"/>
              <w:jc w:val="both"/>
              <w:rPr>
                <w:rFonts w:eastAsia="Times New Roman" w:cs="Times New Roman"/>
                <w:i/>
                <w:iCs/>
                <w:sz w:val="18"/>
                <w:szCs w:val="18"/>
              </w:rPr>
            </w:pPr>
          </w:p>
        </w:tc>
        <w:tc>
          <w:tcPr>
            <w:tcW w:w="1457" w:type="dxa"/>
            <w:tcBorders>
              <w:top w:val="single" w:sz="4" w:space="0" w:color="auto"/>
              <w:left w:val="nil"/>
              <w:bottom w:val="single" w:sz="4" w:space="0" w:color="auto"/>
              <w:right w:val="single" w:sz="4" w:space="0" w:color="auto"/>
            </w:tcBorders>
            <w:shd w:val="clear" w:color="auto" w:fill="auto"/>
          </w:tcPr>
          <w:p w:rsidR="009413BC" w:rsidRPr="00C134B6" w:rsidRDefault="009413BC" w:rsidP="00C44B0C">
            <w:pPr>
              <w:spacing w:after="0" w:line="240" w:lineRule="auto"/>
              <w:jc w:val="both"/>
              <w:rPr>
                <w:rFonts w:eastAsia="Times New Roman" w:cs="Times New Roman"/>
                <w:sz w:val="18"/>
                <w:szCs w:val="18"/>
              </w:rPr>
            </w:pPr>
          </w:p>
          <w:p w:rsidR="00D618BE" w:rsidRPr="00C134B6" w:rsidRDefault="00D618BE"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p w:rsidR="00D618BE" w:rsidRPr="00C134B6" w:rsidRDefault="00D618BE" w:rsidP="00C44B0C">
            <w:pPr>
              <w:spacing w:after="0" w:line="240" w:lineRule="auto"/>
              <w:jc w:val="both"/>
              <w:rPr>
                <w:rFonts w:eastAsia="Times New Roman" w:cs="Times New Roman"/>
                <w:sz w:val="18"/>
                <w:szCs w:val="18"/>
              </w:rPr>
            </w:pPr>
          </w:p>
        </w:tc>
        <w:tc>
          <w:tcPr>
            <w:tcW w:w="1541" w:type="dxa"/>
            <w:tcBorders>
              <w:top w:val="single" w:sz="4" w:space="0" w:color="auto"/>
              <w:left w:val="nil"/>
              <w:bottom w:val="single" w:sz="4" w:space="0" w:color="auto"/>
              <w:right w:val="single" w:sz="4" w:space="0" w:color="auto"/>
            </w:tcBorders>
            <w:shd w:val="clear" w:color="auto" w:fill="auto"/>
          </w:tcPr>
          <w:p w:rsidR="009413BC" w:rsidRPr="00C134B6" w:rsidRDefault="003F2053"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Información pública de oficio. Aplica </w:t>
            </w:r>
            <w:r w:rsidR="002542B0" w:rsidRPr="00C134B6">
              <w:rPr>
                <w:rFonts w:eastAsia="Times New Roman" w:cs="Times New Roman"/>
                <w:sz w:val="18"/>
                <w:szCs w:val="18"/>
              </w:rPr>
              <w:t>a todos</w:t>
            </w:r>
            <w:r w:rsidRPr="00C134B6">
              <w:rPr>
                <w:rFonts w:eastAsia="Times New Roman" w:cs="Times New Roman"/>
                <w:sz w:val="18"/>
                <w:szCs w:val="18"/>
              </w:rPr>
              <w:t xml:space="preserve"> los sujetos obligados</w:t>
            </w:r>
            <w:r w:rsidR="002542B0" w:rsidRPr="00C134B6">
              <w:rPr>
                <w:rFonts w:eastAsia="Times New Roman" w:cs="Times New Roman"/>
                <w:sz w:val="18"/>
                <w:szCs w:val="18"/>
              </w:rPr>
              <w:t xml:space="preserve">. </w:t>
            </w:r>
            <w:r w:rsidRPr="00C134B6">
              <w:rPr>
                <w:rFonts w:eastAsia="Times New Roman" w:cs="Times New Roman"/>
                <w:sz w:val="18"/>
                <w:szCs w:val="18"/>
              </w:rPr>
              <w:t xml:space="preserve"> </w:t>
            </w:r>
          </w:p>
        </w:tc>
        <w:tc>
          <w:tcPr>
            <w:tcW w:w="2693" w:type="dxa"/>
            <w:tcBorders>
              <w:top w:val="single" w:sz="4" w:space="0" w:color="auto"/>
              <w:left w:val="nil"/>
              <w:bottom w:val="single" w:sz="4" w:space="0" w:color="auto"/>
              <w:right w:val="single" w:sz="4" w:space="0" w:color="auto"/>
            </w:tcBorders>
            <w:shd w:val="clear" w:color="auto" w:fill="auto"/>
          </w:tcPr>
          <w:p w:rsidR="005F4F59" w:rsidRPr="00C134B6" w:rsidRDefault="003F2053"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Constitución Política de los Estados Unidos Mexicanos</w:t>
            </w:r>
            <w:r w:rsidR="005F4F59" w:rsidRPr="00C134B6">
              <w:rPr>
                <w:rFonts w:eastAsia="Times New Roman" w:cs="Times New Roman"/>
                <w:sz w:val="18"/>
                <w:szCs w:val="18"/>
              </w:rPr>
              <w:t>.</w:t>
            </w:r>
            <w:r w:rsidR="00D522F8" w:rsidRPr="00C134B6">
              <w:rPr>
                <w:rFonts w:eastAsia="Times New Roman" w:cs="Times New Roman"/>
                <w:sz w:val="18"/>
                <w:szCs w:val="18"/>
              </w:rPr>
              <w:t xml:space="preserve"> Artículo 6. </w:t>
            </w:r>
          </w:p>
          <w:p w:rsidR="005F4F59" w:rsidRPr="00C134B6" w:rsidRDefault="002542B0"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 xml:space="preserve"> Ley General de Transparencia y </w:t>
            </w:r>
            <w:r w:rsidR="005F4F59" w:rsidRPr="00C134B6">
              <w:rPr>
                <w:rFonts w:eastAsia="Times New Roman" w:cs="Times New Roman"/>
                <w:sz w:val="18"/>
                <w:szCs w:val="18"/>
              </w:rPr>
              <w:t>Acceso a la Información Pública.</w:t>
            </w:r>
            <w:r w:rsidR="001D4295" w:rsidRPr="00C134B6">
              <w:rPr>
                <w:rFonts w:eastAsia="Times New Roman" w:cs="Times New Roman"/>
                <w:sz w:val="18"/>
                <w:szCs w:val="18"/>
              </w:rPr>
              <w:t xml:space="preserve"> Articulo 70</w:t>
            </w:r>
          </w:p>
          <w:p w:rsidR="005F4F59" w:rsidRPr="00C134B6" w:rsidRDefault="002542B0"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Ley de Transparencia y Acceso a la Información Pública para el Estado de Oaxaca</w:t>
            </w:r>
            <w:r w:rsidR="001D4295" w:rsidRPr="00C134B6">
              <w:rPr>
                <w:rFonts w:eastAsia="Times New Roman" w:cs="Times New Roman"/>
                <w:sz w:val="18"/>
                <w:szCs w:val="18"/>
              </w:rPr>
              <w:t>, Articulo 19</w:t>
            </w:r>
          </w:p>
          <w:p w:rsidR="00EC4B47" w:rsidRPr="00C134B6" w:rsidRDefault="002542B0"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Ley orgánica del Poder</w:t>
            </w:r>
            <w:r w:rsidR="00EC4B47" w:rsidRPr="00C134B6">
              <w:rPr>
                <w:rFonts w:eastAsia="Times New Roman" w:cs="Times New Roman"/>
                <w:sz w:val="18"/>
                <w:szCs w:val="18"/>
              </w:rPr>
              <w:t xml:space="preserve"> Ejecutivo del Estado de Oaxaca, Articulo 30.</w:t>
            </w:r>
          </w:p>
          <w:p w:rsidR="009413BC" w:rsidRPr="00C134B6" w:rsidRDefault="002542B0"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Reglamento</w:t>
            </w:r>
            <w:r w:rsidR="0025232C" w:rsidRPr="00C134B6">
              <w:rPr>
                <w:rFonts w:eastAsia="Times New Roman" w:cs="Times New Roman"/>
                <w:sz w:val="18"/>
                <w:szCs w:val="18"/>
              </w:rPr>
              <w:t xml:space="preserve"> Interno de la RGODF</w:t>
            </w:r>
            <w:r w:rsidR="00EC4B47" w:rsidRPr="00C134B6">
              <w:rPr>
                <w:rFonts w:eastAsia="Times New Roman" w:cs="Times New Roman"/>
                <w:sz w:val="18"/>
                <w:szCs w:val="18"/>
              </w:rPr>
              <w:t>, Articulo 11.</w:t>
            </w:r>
          </w:p>
        </w:tc>
        <w:tc>
          <w:tcPr>
            <w:tcW w:w="1276" w:type="dxa"/>
            <w:tcBorders>
              <w:top w:val="single" w:sz="4" w:space="0" w:color="auto"/>
              <w:left w:val="nil"/>
              <w:bottom w:val="single" w:sz="4" w:space="0" w:color="auto"/>
              <w:right w:val="single" w:sz="4" w:space="0" w:color="auto"/>
            </w:tcBorders>
          </w:tcPr>
          <w:p w:rsidR="009413BC" w:rsidRPr="00C134B6" w:rsidRDefault="009A386D"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Operativa</w:t>
            </w:r>
            <w:r w:rsidR="00EC4B47" w:rsidRPr="00C134B6">
              <w:rPr>
                <w:rFonts w:eastAsia="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9413BC" w:rsidRPr="00C134B6" w:rsidRDefault="009413BC" w:rsidP="00C44B0C">
            <w:pPr>
              <w:spacing w:after="0" w:line="240" w:lineRule="auto"/>
              <w:jc w:val="both"/>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C134B6" w:rsidRDefault="00C134B6" w:rsidP="00C134B6">
            <w:pPr>
              <w:spacing w:after="0" w:line="240" w:lineRule="auto"/>
              <w:jc w:val="center"/>
              <w:rPr>
                <w:rFonts w:eastAsia="Times New Roman" w:cs="Times New Roman"/>
                <w:sz w:val="18"/>
                <w:szCs w:val="18"/>
              </w:rPr>
            </w:pPr>
            <w:r>
              <w:rPr>
                <w:rFonts w:eastAsia="Times New Roman" w:cs="Times New Roman"/>
                <w:sz w:val="18"/>
                <w:szCs w:val="18"/>
              </w:rPr>
              <w:t>VALIDADA</w:t>
            </w:r>
          </w:p>
        </w:tc>
      </w:tr>
      <w:tr w:rsidR="00C134B6" w:rsidRPr="00C134B6" w:rsidTr="00C134B6">
        <w:trPr>
          <w:trHeight w:val="2025"/>
        </w:trPr>
        <w:tc>
          <w:tcPr>
            <w:tcW w:w="1346" w:type="dxa"/>
            <w:vMerge/>
            <w:tcBorders>
              <w:left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II </w:t>
            </w:r>
            <w:r w:rsidRPr="00C134B6">
              <w:rPr>
                <w:rFonts w:eastAsia="Times New Roman" w:cs="Times New Roman"/>
                <w:i/>
                <w:iCs/>
                <w:sz w:val="18"/>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C134B6" w:rsidRPr="00C134B6" w:rsidRDefault="00C134B6" w:rsidP="00C44B0C">
            <w:pPr>
              <w:spacing w:after="0" w:line="240" w:lineRule="auto"/>
              <w:jc w:val="both"/>
              <w:rPr>
                <w:rFonts w:eastAsia="Times New Roman" w:cs="Times New Roman"/>
                <w:i/>
                <w:iCs/>
                <w:sz w:val="18"/>
                <w:szCs w:val="18"/>
              </w:rPr>
            </w:pP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Información pública de oficio. Aplica a todos los sujetos obligados</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Ley Orgánica del Poder Ejecutivo del Estado de Oaxaca, Artículo 30.</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Interno de la RGODF, Artículo 12</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Validar la estructura orgánica que se encuentra publicada de la Ventanilla Única de Acceso a la Información Pública. </w:t>
            </w:r>
          </w:p>
        </w:tc>
        <w:tc>
          <w:tcPr>
            <w:tcW w:w="1275" w:type="dxa"/>
            <w:tcBorders>
              <w:top w:val="nil"/>
              <w:left w:val="single" w:sz="4" w:space="0" w:color="auto"/>
              <w:bottom w:val="single" w:sz="4" w:space="0" w:color="auto"/>
              <w:right w:val="single" w:sz="4" w:space="0" w:color="auto"/>
            </w:tcBorders>
            <w:vAlign w:val="center"/>
          </w:tcPr>
          <w:p w:rsidR="00C134B6" w:rsidRDefault="00C134B6" w:rsidP="00C134B6">
            <w:pPr>
              <w:jc w:val="center"/>
            </w:pPr>
            <w:r w:rsidRPr="00511B8C">
              <w:t>VALIDADA</w:t>
            </w:r>
          </w:p>
        </w:tc>
      </w:tr>
      <w:tr w:rsidR="00C134B6" w:rsidRPr="00C134B6" w:rsidTr="00C134B6">
        <w:trPr>
          <w:trHeight w:val="510"/>
        </w:trPr>
        <w:tc>
          <w:tcPr>
            <w:tcW w:w="1346" w:type="dxa"/>
            <w:vMerge/>
            <w:tcBorders>
              <w:left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III </w:t>
            </w:r>
            <w:r w:rsidRPr="00C134B6">
              <w:rPr>
                <w:rFonts w:eastAsia="Times New Roman" w:cs="Times New Roman"/>
                <w:i/>
                <w:iCs/>
                <w:sz w:val="18"/>
                <w:szCs w:val="18"/>
              </w:rPr>
              <w:t>Las facultades de cada Área;</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Información pública de oficio. Aplica a todos los sujetos obligados</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Reglamento Interno de la RGODF.</w:t>
            </w:r>
          </w:p>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Manual de Organización de la RGODF.</w:t>
            </w:r>
          </w:p>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Manual de Procedimientos de la RGODF.</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Operativa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Validar Reglamento Interno</w:t>
            </w:r>
          </w:p>
        </w:tc>
        <w:tc>
          <w:tcPr>
            <w:tcW w:w="1275" w:type="dxa"/>
            <w:tcBorders>
              <w:top w:val="nil"/>
              <w:left w:val="single" w:sz="4" w:space="0" w:color="auto"/>
              <w:bottom w:val="single" w:sz="4" w:space="0" w:color="auto"/>
              <w:right w:val="single" w:sz="4" w:space="0" w:color="auto"/>
            </w:tcBorders>
            <w:vAlign w:val="center"/>
          </w:tcPr>
          <w:p w:rsidR="00C134B6" w:rsidRDefault="00C134B6" w:rsidP="00C134B6">
            <w:pPr>
              <w:jc w:val="center"/>
            </w:pPr>
            <w:r w:rsidRPr="00511B8C">
              <w:t>VALIDADA</w:t>
            </w:r>
          </w:p>
        </w:tc>
      </w:tr>
      <w:tr w:rsidR="00C134B6" w:rsidRPr="00C134B6" w:rsidTr="00C134B6">
        <w:trPr>
          <w:trHeight w:val="927"/>
        </w:trPr>
        <w:tc>
          <w:tcPr>
            <w:tcW w:w="1346" w:type="dxa"/>
            <w:vMerge/>
            <w:tcBorders>
              <w:left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IV </w:t>
            </w:r>
            <w:r w:rsidRPr="00C134B6">
              <w:rPr>
                <w:rFonts w:eastAsia="Times New Roman" w:cs="Times New Roman"/>
                <w:i/>
                <w:iCs/>
                <w:sz w:val="18"/>
                <w:szCs w:val="18"/>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Información pública de oficio. Aplica a todos los sujetos obligados</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Reglamento Interno de la RGODF, Articulo 12.</w:t>
            </w:r>
          </w:p>
          <w:p w:rsidR="00C134B6" w:rsidRPr="00C134B6" w:rsidRDefault="00C134B6" w:rsidP="00C44B0C">
            <w:pPr>
              <w:pStyle w:val="Prrafodelista"/>
              <w:spacing w:after="0" w:line="240" w:lineRule="auto"/>
              <w:ind w:left="72"/>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Estructura Programática y Matriz de Indicadores </w:t>
            </w:r>
          </w:p>
        </w:tc>
        <w:tc>
          <w:tcPr>
            <w:tcW w:w="1275" w:type="dxa"/>
            <w:tcBorders>
              <w:top w:val="nil"/>
              <w:left w:val="single" w:sz="4" w:space="0" w:color="auto"/>
              <w:bottom w:val="single" w:sz="4" w:space="0" w:color="auto"/>
              <w:right w:val="single" w:sz="4" w:space="0" w:color="auto"/>
            </w:tcBorders>
            <w:vAlign w:val="center"/>
          </w:tcPr>
          <w:p w:rsidR="00C134B6" w:rsidRDefault="00C134B6" w:rsidP="00C134B6">
            <w:pPr>
              <w:jc w:val="center"/>
            </w:pPr>
            <w:r w:rsidRPr="00511B8C">
              <w:t>VALIDADA</w:t>
            </w:r>
          </w:p>
        </w:tc>
      </w:tr>
      <w:tr w:rsidR="00C134B6" w:rsidRPr="00C134B6" w:rsidTr="00C134B6">
        <w:trPr>
          <w:trHeight w:val="1236"/>
        </w:trPr>
        <w:tc>
          <w:tcPr>
            <w:tcW w:w="1346" w:type="dxa"/>
            <w:vMerge/>
            <w:tcBorders>
              <w:left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Fracción V</w:t>
            </w:r>
            <w:r w:rsidRPr="00C134B6">
              <w:rPr>
                <w:rFonts w:eastAsia="Times New Roman" w:cs="Times New Roman"/>
                <w:i/>
                <w:iCs/>
                <w:sz w:val="18"/>
                <w:szCs w:val="18"/>
              </w:rPr>
              <w:br w:type="page"/>
            </w:r>
            <w:r w:rsidRPr="00C134B6">
              <w:rPr>
                <w:rFonts w:eastAsia="Times New Roman" w:cs="Times New Roman"/>
                <w:i/>
                <w:iCs/>
                <w:sz w:val="18"/>
                <w:szCs w:val="18"/>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pStyle w:val="Prrafodelista"/>
              <w:spacing w:after="0" w:line="240" w:lineRule="auto"/>
              <w:ind w:left="72"/>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2E42E7">
            <w:pPr>
              <w:spacing w:after="0" w:line="240" w:lineRule="auto"/>
              <w:jc w:val="both"/>
              <w:rPr>
                <w:rFonts w:eastAsia="Times New Roman" w:cs="Times New Roman"/>
                <w:sz w:val="18"/>
                <w:szCs w:val="18"/>
              </w:rPr>
            </w:pPr>
            <w:r w:rsidRPr="00C134B6">
              <w:rPr>
                <w:rFonts w:eastAsia="Times New Roman" w:cs="Times New Roman"/>
                <w:sz w:val="18"/>
                <w:szCs w:val="18"/>
              </w:rPr>
              <w:t xml:space="preserve">Es aplicable en términos de lo establecido en los Lineamientos Técnicos Generales para la Publicación, Homologación y estandarización de la información en relación al artículo 46 Fracción III Inciso C) de la Ley General de </w:t>
            </w:r>
            <w:r w:rsidRPr="00C134B6">
              <w:rPr>
                <w:rFonts w:eastAsia="Times New Roman" w:cs="Times New Roman"/>
                <w:sz w:val="18"/>
                <w:szCs w:val="18"/>
              </w:rPr>
              <w:lastRenderedPageBreak/>
              <w:t>Contabilidad Gubernamental.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lastRenderedPageBreak/>
              <w:t>VALIDADA</w:t>
            </w:r>
          </w:p>
        </w:tc>
      </w:tr>
      <w:tr w:rsidR="00C134B6" w:rsidRPr="00C134B6" w:rsidTr="00C134B6">
        <w:trPr>
          <w:trHeight w:val="702"/>
        </w:trPr>
        <w:tc>
          <w:tcPr>
            <w:tcW w:w="1346" w:type="dxa"/>
            <w:vMerge/>
            <w:tcBorders>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VI </w:t>
            </w:r>
            <w:r w:rsidRPr="00C134B6">
              <w:rPr>
                <w:rFonts w:eastAsia="Times New Roman" w:cs="Times New Roman"/>
                <w:i/>
                <w:iCs/>
                <w:sz w:val="18"/>
                <w:szCs w:val="18"/>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Rendir informe del grado de cumplimiento los objetivos institucionales y de los programas presupuestarios aprobados.   </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•Ley Orgánica del Poder Ejecutivo del Estado de Oaxaca, Artículo 33 y 54.</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 Interno de la RGODF, Articulo 12, 13 y 14</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Coordinación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Administrativa</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Depto. de Atención y Enlace Ciudadano; Depto. de Fomento Cultural y Turismo</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Se emiten trimestralmente Tablas de estadísticas: Turismo y Atención Ciudadana</w:t>
            </w:r>
          </w:p>
        </w:tc>
        <w:tc>
          <w:tcPr>
            <w:tcW w:w="1275" w:type="dxa"/>
            <w:tcBorders>
              <w:top w:val="nil"/>
              <w:left w:val="single" w:sz="4" w:space="0" w:color="auto"/>
              <w:bottom w:val="single" w:sz="4" w:space="0" w:color="auto"/>
              <w:right w:val="single" w:sz="4" w:space="0" w:color="auto"/>
            </w:tcBorders>
            <w:vAlign w:val="center"/>
          </w:tcPr>
          <w:p w:rsidR="00C134B6" w:rsidRDefault="00C134B6" w:rsidP="00C134B6">
            <w:pPr>
              <w:jc w:val="center"/>
            </w:pPr>
            <w:r w:rsidRPr="00511B8C">
              <w:t>VALIDADA</w:t>
            </w:r>
          </w:p>
        </w:tc>
      </w:tr>
      <w:tr w:rsidR="00C134B6" w:rsidRPr="00C134B6" w:rsidTr="00C134B6">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VII </w:t>
            </w:r>
            <w:r w:rsidRPr="00C134B6">
              <w:rPr>
                <w:rFonts w:eastAsia="Times New Roman" w:cs="Times New Roman"/>
                <w:i/>
                <w:iCs/>
                <w:sz w:val="18"/>
                <w:szCs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Información pública de oficio. Aplica a todos los sujetos obligados</w:t>
            </w:r>
            <w:r w:rsidRPr="00C134B6">
              <w:rPr>
                <w:rFonts w:eastAsia="Times New Roman" w:cs="Times New Roman"/>
                <w:sz w:val="18"/>
                <w:szCs w:val="18"/>
              </w:rPr>
              <w:tab/>
            </w:r>
          </w:p>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del Estado de Oaxaca, Artículos 33 y 54 </w:t>
            </w:r>
          </w:p>
          <w:p w:rsidR="00C134B6" w:rsidRPr="00C134B6" w:rsidRDefault="00C134B6" w:rsidP="00C44B0C">
            <w:pPr>
              <w:pStyle w:val="Prrafodelista"/>
              <w:numPr>
                <w:ilvl w:val="0"/>
                <w:numId w:val="8"/>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Reglamento Interno de la RGODF, Artículo 12</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Operativa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Validar información </w:t>
            </w:r>
          </w:p>
        </w:tc>
        <w:tc>
          <w:tcPr>
            <w:tcW w:w="1275" w:type="dxa"/>
            <w:tcBorders>
              <w:top w:val="nil"/>
              <w:left w:val="single" w:sz="4" w:space="0" w:color="auto"/>
              <w:bottom w:val="single" w:sz="4" w:space="0" w:color="auto"/>
              <w:right w:val="single" w:sz="4" w:space="0" w:color="auto"/>
            </w:tcBorders>
            <w:vAlign w:val="center"/>
          </w:tcPr>
          <w:p w:rsidR="00C134B6" w:rsidRDefault="00C134B6" w:rsidP="00C134B6">
            <w:pPr>
              <w:jc w:val="center"/>
            </w:pPr>
            <w:r w:rsidRPr="00511B8C">
              <w:t>VALIDADA</w:t>
            </w:r>
          </w:p>
        </w:tc>
      </w:tr>
      <w:tr w:rsidR="00C134B6" w:rsidRPr="00C134B6" w:rsidTr="00C134B6">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VIII </w:t>
            </w:r>
            <w:r w:rsidRPr="00C134B6">
              <w:rPr>
                <w:rFonts w:eastAsia="Times New Roman" w:cs="Times New Roman"/>
                <w:i/>
                <w:iCs/>
                <w:sz w:val="18"/>
                <w:szCs w:val="18"/>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p w:rsidR="00C134B6" w:rsidRPr="00C134B6" w:rsidRDefault="00C134B6" w:rsidP="00C44B0C">
            <w:pPr>
              <w:spacing w:after="0" w:line="240" w:lineRule="auto"/>
              <w:jc w:val="both"/>
              <w:rPr>
                <w:rFonts w:eastAsia="Times New Roman" w:cs="Times New Roman"/>
                <w:sz w:val="18"/>
                <w:szCs w:val="18"/>
              </w:rPr>
            </w:pP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De acuerdo a las disposiciones aplicables, esta atribución no se encuentra en el ámbito de la competencia de este órgano auxiliar. </w:t>
            </w:r>
          </w:p>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pStyle w:val="Prrafodelista"/>
              <w:numPr>
                <w:ilvl w:val="0"/>
                <w:numId w:val="8"/>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 xml:space="preserve">Ley Orgánica del Poder Ejecutivo del Estado de Oaxaca, Articulo 46 fracción V y Fracción XLIII.  </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Secretaría de Administración </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 dicha información la podrá consultar en la página electrónica http://www.administracion.oaxaca.gob.mx/recursos-humanos/</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IX </w:t>
            </w:r>
            <w:r w:rsidRPr="00C134B6">
              <w:rPr>
                <w:rFonts w:eastAsia="Times New Roman" w:cs="Times New Roman"/>
                <w:i/>
                <w:iCs/>
                <w:sz w:val="18"/>
                <w:szCs w:val="18"/>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Información pública de oficio. Aplica a todos los sujetos obligados</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•Ley General de Transparencia y Acceso a la Información Pública.</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de Transparencia y Acceso a la Información Pública para el Estado de Oaxaca.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•Ley Orgánica del Poder Ejecutivo del Estado de Oaxaca</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Interno de la RGODF, Artículo 12</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Vinculación con os reporte generados con el Sistema VIATIC.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Homologar formato de Viáticos y Gastos de Representación.</w:t>
            </w:r>
          </w:p>
        </w:tc>
        <w:tc>
          <w:tcPr>
            <w:tcW w:w="1275" w:type="dxa"/>
            <w:tcBorders>
              <w:top w:val="nil"/>
              <w:left w:val="single" w:sz="4" w:space="0" w:color="auto"/>
              <w:bottom w:val="single" w:sz="4" w:space="0" w:color="auto"/>
              <w:right w:val="single" w:sz="4" w:space="0" w:color="auto"/>
            </w:tcBorders>
            <w:vAlign w:val="center"/>
          </w:tcPr>
          <w:p w:rsidR="00C134B6" w:rsidRDefault="00C134B6" w:rsidP="00C134B6">
            <w:pPr>
              <w:jc w:val="center"/>
            </w:pPr>
            <w:r w:rsidRPr="00511B8C">
              <w:t>VALIDADA</w:t>
            </w:r>
          </w:p>
        </w:tc>
      </w:tr>
      <w:tr w:rsidR="00C134B6" w:rsidRPr="00C134B6" w:rsidTr="00C134B6">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type="page"/>
            </w:r>
            <w:r w:rsidRPr="00C134B6">
              <w:rPr>
                <w:rFonts w:eastAsia="Times New Roman" w:cs="Times New Roman"/>
                <w:i/>
                <w:iCs/>
                <w:sz w:val="18"/>
                <w:szCs w:val="18"/>
              </w:rPr>
              <w:br w:type="page"/>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Fracción X</w:t>
            </w:r>
            <w:r w:rsidRPr="00C134B6">
              <w:rPr>
                <w:rFonts w:eastAsia="Times New Roman" w:cs="Times New Roman"/>
                <w:i/>
                <w:iCs/>
                <w:sz w:val="18"/>
                <w:szCs w:val="18"/>
              </w:rPr>
              <w:br w:type="page"/>
            </w:r>
            <w:r w:rsidRPr="00C134B6">
              <w:rPr>
                <w:rFonts w:eastAsia="Times New Roman" w:cs="Times New Roman"/>
                <w:i/>
                <w:iCs/>
                <w:sz w:val="18"/>
                <w:szCs w:val="18"/>
              </w:rPr>
              <w:br w:type="page"/>
              <w:t xml:space="preserve"> 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Secretaría de Administración</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Es aplicable en términos de los Lineamientos Técnicos Generales para la publicación, homologación y estandarización de </w:t>
            </w:r>
            <w:r w:rsidRPr="00C134B6">
              <w:rPr>
                <w:rFonts w:eastAsia="Times New Roman" w:cs="Times New Roman"/>
                <w:sz w:val="18"/>
                <w:szCs w:val="18"/>
              </w:rPr>
              <w:lastRenderedPageBreak/>
              <w:t>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lastRenderedPageBreak/>
              <w:t>VALIDADA</w:t>
            </w:r>
          </w:p>
        </w:tc>
      </w:tr>
      <w:tr w:rsidR="00C134B6" w:rsidRPr="00C134B6" w:rsidTr="00C134B6">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XI </w:t>
            </w:r>
            <w:r w:rsidRPr="00C134B6">
              <w:rPr>
                <w:rFonts w:eastAsia="Times New Roman" w:cs="Times New Roman"/>
                <w:i/>
                <w:iCs/>
                <w:sz w:val="18"/>
                <w:szCs w:val="18"/>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jc w:val="both"/>
              <w:rPr>
                <w:rFonts w:eastAsia="Times New Roman" w:cs="Times New Roman"/>
                <w:sz w:val="18"/>
                <w:szCs w:val="18"/>
              </w:rPr>
            </w:pPr>
            <w:r w:rsidRPr="00C134B6">
              <w:rPr>
                <w:rFonts w:eastAsia="Times New Roman" w:cs="Times New Roman"/>
                <w:sz w:val="18"/>
                <w:szCs w:val="18"/>
              </w:rPr>
              <w:t>Secretaría de Administración</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XII </w:t>
            </w:r>
            <w:r w:rsidRPr="00C134B6">
              <w:rPr>
                <w:rFonts w:eastAsia="Times New Roman" w:cs="Times New Roman"/>
                <w:i/>
                <w:iCs/>
                <w:sz w:val="18"/>
                <w:szCs w:val="18"/>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2E42E7">
            <w:pPr>
              <w:spacing w:after="0" w:line="240" w:lineRule="auto"/>
              <w:jc w:val="both"/>
              <w:rPr>
                <w:rFonts w:eastAsia="Times New Roman" w:cs="Times New Roman"/>
                <w:sz w:val="18"/>
                <w:szCs w:val="18"/>
              </w:rPr>
            </w:pPr>
            <w:r w:rsidRPr="00C134B6">
              <w:rPr>
                <w:rFonts w:eastAsia="Times New Roman" w:cs="Times New Roman"/>
                <w:sz w:val="18"/>
                <w:szCs w:val="18"/>
              </w:rPr>
              <w:t xml:space="preserve">es aplicable en términos de los establecido en los Lineamientos Técnicos Generales para la publicación, homologación y estandarización de la información, además que no se tiene el consentimiento de los titulares para hacer pública su información dicha información se podrá consultar en la página </w:t>
            </w:r>
            <w:r w:rsidRPr="00C134B6">
              <w:rPr>
                <w:rFonts w:eastAsia="Times New Roman" w:cs="Times New Roman"/>
                <w:sz w:val="18"/>
                <w:szCs w:val="18"/>
              </w:rPr>
              <w:lastRenderedPageBreak/>
              <w:t xml:space="preserve">electrónica www.contraloria.oaxaca.gob.mx, </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lastRenderedPageBreak/>
              <w:t>VALIDADA</w:t>
            </w:r>
          </w:p>
        </w:tc>
      </w:tr>
      <w:tr w:rsidR="00C134B6" w:rsidRPr="00C134B6" w:rsidTr="00C134B6">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XIII </w:t>
            </w:r>
            <w:r w:rsidRPr="00C134B6">
              <w:rPr>
                <w:rFonts w:eastAsia="Times New Roman" w:cs="Times New Roman"/>
                <w:i/>
                <w:iCs/>
                <w:sz w:val="18"/>
                <w:szCs w:val="18"/>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Información pública de oficio. Aplica a todos los sujetos obligados</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•Ley Orgánica del Poder Ejecutivo del Estado de Oaxaca, Artículos 33 y 54.</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•Reglamento Interno de la RGODF, Artículo 11 y 16 </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Operativa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XIV </w:t>
            </w:r>
            <w:r w:rsidRPr="00C134B6">
              <w:rPr>
                <w:rFonts w:eastAsia="Times New Roman" w:cs="Times New Roman"/>
                <w:i/>
                <w:iCs/>
                <w:sz w:val="18"/>
                <w:szCs w:val="18"/>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NO 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No se cuenta con la normatividad aplicable para la administración pública estatal.</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Secretaría de Administración </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type="page"/>
            </w:r>
            <w:r w:rsidRPr="00C134B6">
              <w:rPr>
                <w:rFonts w:eastAsia="Times New Roman" w:cs="Times New Roman"/>
                <w:i/>
                <w:iCs/>
                <w:sz w:val="18"/>
                <w:szCs w:val="18"/>
              </w:rPr>
              <w:br w:type="page"/>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Fracción XV</w:t>
            </w:r>
            <w:r w:rsidRPr="00C134B6">
              <w:rPr>
                <w:rFonts w:eastAsia="Times New Roman" w:cs="Times New Roman"/>
                <w:i/>
                <w:iCs/>
                <w:sz w:val="18"/>
                <w:szCs w:val="18"/>
              </w:rPr>
              <w:br w:type="page"/>
              <w:t>La información de los programas de subsidios, estímulos y apoyos, en el que se deberá informar respecto de los programas de transferencia, de servicios, de infraestructura social y de subsidio, en los que se deberá contener lo siguiente:</w:t>
            </w:r>
            <w:r w:rsidRPr="00C134B6">
              <w:rPr>
                <w:rFonts w:eastAsia="Times New Roman" w:cs="Times New Roman"/>
                <w:i/>
                <w:iCs/>
                <w:sz w:val="18"/>
                <w:szCs w:val="18"/>
              </w:rPr>
              <w:br w:type="page"/>
              <w:t>...</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p w:rsidR="00C134B6" w:rsidRPr="00C134B6" w:rsidRDefault="00C134B6" w:rsidP="00C44B0C">
            <w:pPr>
              <w:spacing w:after="0" w:line="240" w:lineRule="auto"/>
              <w:jc w:val="both"/>
              <w:rPr>
                <w:rFonts w:eastAsia="Times New Roman" w:cs="Times New Roman"/>
                <w:sz w:val="18"/>
                <w:szCs w:val="18"/>
              </w:rPr>
            </w:pP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 establecido en los Lineamientos Técnicos Generales para la publicación homologación y estandarización de la Información en relación con lo establecido en el artículo 11 de la Ley de Presupuesto y Responsabilidad Hacendaria.</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186"/>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XVI </w:t>
            </w:r>
            <w:r w:rsidRPr="00C134B6">
              <w:rPr>
                <w:rFonts w:eastAsia="Times New Roman" w:cs="Times New Roman"/>
                <w:i/>
                <w:iCs/>
                <w:sz w:val="18"/>
                <w:szCs w:val="18"/>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type="page"/>
            </w:r>
            <w:r w:rsidRPr="00C134B6">
              <w:rPr>
                <w:rFonts w:eastAsia="Times New Roman" w:cs="Times New Roman"/>
                <w:i/>
                <w:iCs/>
                <w:sz w:val="18"/>
                <w:szCs w:val="18"/>
              </w:rPr>
              <w:br w:type="page"/>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Fracción XVII</w:t>
            </w:r>
            <w:r w:rsidRPr="00C134B6">
              <w:rPr>
                <w:rFonts w:eastAsia="Times New Roman" w:cs="Times New Roman"/>
                <w:i/>
                <w:iCs/>
                <w:sz w:val="18"/>
                <w:szCs w:val="18"/>
              </w:rPr>
              <w:br w:type="page"/>
            </w:r>
            <w:r w:rsidRPr="00C134B6">
              <w:rPr>
                <w:rFonts w:eastAsia="Times New Roman" w:cs="Times New Roman"/>
                <w:i/>
                <w:iCs/>
                <w:sz w:val="18"/>
                <w:szCs w:val="18"/>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Información pública de oficio. Aplica a todos los sujetos obligados</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•Ley General de Transparencia y Acceso a la Información Pública.</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de Transparencia y Acceso a la Información Pública para el Estado de Oaxaca.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•Ley Orgánica del Poder Ejecutivo del Estado de Oaxaca</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Interno de la RGODF, Artículo 12</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Validar la información que hay en la página y saber sí se adicionan conceptos</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XVIII </w:t>
            </w:r>
            <w:r w:rsidRPr="00C134B6">
              <w:rPr>
                <w:rFonts w:eastAsia="Times New Roman" w:cs="Times New Roman"/>
                <w:i/>
                <w:iCs/>
                <w:sz w:val="18"/>
                <w:szCs w:val="18"/>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5121DE">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5121DE">
            <w:pPr>
              <w:spacing w:after="0" w:line="240" w:lineRule="auto"/>
              <w:jc w:val="both"/>
              <w:rPr>
                <w:rFonts w:eastAsia="Times New Roman" w:cs="Times New Roman"/>
                <w:sz w:val="18"/>
                <w:szCs w:val="18"/>
              </w:rPr>
            </w:pPr>
            <w:r w:rsidRPr="00C134B6">
              <w:rPr>
                <w:rFonts w:eastAsia="Times New Roman" w:cs="Times New Roman"/>
                <w:sz w:val="18"/>
                <w:szCs w:val="18"/>
              </w:rPr>
              <w:t xml:space="preserve">Es aplicable en términos de los Lineamientos Técnicos Generales para la Publicación Homologación y Estandarización de la Información. Dicha información podrá ser consultada en la página electrónica http://www.contraloria.oaxaca.gob.mx/ </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XIX </w:t>
            </w:r>
            <w:r w:rsidRPr="00C134B6">
              <w:rPr>
                <w:rFonts w:eastAsia="Times New Roman" w:cs="Times New Roman"/>
                <w:i/>
                <w:iCs/>
                <w:sz w:val="18"/>
                <w:szCs w:val="18"/>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p w:rsidR="00C134B6" w:rsidRPr="00C134B6" w:rsidRDefault="00C134B6" w:rsidP="00C44B0C">
            <w:pPr>
              <w:spacing w:after="0" w:line="240" w:lineRule="auto"/>
              <w:jc w:val="both"/>
              <w:rPr>
                <w:rFonts w:eastAsia="Times New Roman" w:cs="Times New Roman"/>
                <w:sz w:val="18"/>
                <w:szCs w:val="18"/>
              </w:rPr>
            </w:pP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Difundir e informar al público en general los servicios que se ofrecen y las actividades que realiza la RGEODF encaminadas a satisfacer necesidades de la población migrante de origen oaxaqueño. </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Reglamento Interno de la RGODF, Artículo 5, 10, 13, 14, 15y 16. </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Representante. Coordinación Operativa. Depto. de Atención y Enlace Ciudadano; Depto. de Fomento Cultural y Turismo.</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Depto. de Comunicación Social y Relaciones Públicas. </w:t>
            </w:r>
          </w:p>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 </w:t>
            </w:r>
            <w:r w:rsidRPr="00C134B6">
              <w:rPr>
                <w:rFonts w:eastAsia="Times New Roman" w:cs="Times New Roman"/>
                <w:i/>
                <w:iCs/>
                <w:sz w:val="18"/>
                <w:szCs w:val="18"/>
              </w:rPr>
              <w:t>Los trámites, requisitos y formatos que ofrecen;</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jc w:val="both"/>
              <w:rPr>
                <w:rFonts w:eastAsia="Times New Roman" w:cs="Times New Roman"/>
                <w:sz w:val="18"/>
                <w:szCs w:val="18"/>
              </w:rPr>
            </w:pPr>
            <w:r w:rsidRPr="00C134B6">
              <w:rPr>
                <w:rFonts w:eastAsia="Times New Roman" w:cs="Times New Roman"/>
                <w:sz w:val="18"/>
                <w:szCs w:val="18"/>
              </w:rPr>
              <w:t xml:space="preserve">Difundir los trámites registrales que a través de la RGEODF, en coordinación con la Dirección del Registro Civil de Oaxaca, se realizan en las oficinas sedes. </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pStyle w:val="Prrafodelista"/>
              <w:numPr>
                <w:ilvl w:val="0"/>
                <w:numId w:val="8"/>
              </w:numPr>
              <w:spacing w:after="0" w:line="240" w:lineRule="auto"/>
              <w:ind w:left="72"/>
              <w:jc w:val="both"/>
              <w:rPr>
                <w:rFonts w:eastAsia="Times New Roman" w:cs="Times New Roman"/>
                <w:sz w:val="18"/>
                <w:szCs w:val="18"/>
              </w:rPr>
            </w:pPr>
            <w:r w:rsidRPr="00C134B6">
              <w:rPr>
                <w:rFonts w:eastAsia="Times New Roman" w:cs="Times New Roman"/>
                <w:sz w:val="18"/>
                <w:szCs w:val="18"/>
              </w:rPr>
              <w:t>Reglamento Interno de la RGODF, Artículo 5, 10, 13, 14, 15y 16.</w:t>
            </w:r>
          </w:p>
          <w:p w:rsidR="00C134B6" w:rsidRPr="00C134B6" w:rsidRDefault="00C134B6" w:rsidP="00C44B0C">
            <w:pPr>
              <w:pStyle w:val="Prrafodelista"/>
              <w:numPr>
                <w:ilvl w:val="0"/>
                <w:numId w:val="8"/>
              </w:numPr>
              <w:spacing w:after="0" w:line="240" w:lineRule="auto"/>
              <w:ind w:left="72"/>
              <w:jc w:val="both"/>
              <w:rPr>
                <w:rFonts w:eastAsia="Times New Roman" w:cs="Times New Roman"/>
                <w:sz w:val="18"/>
                <w:szCs w:val="18"/>
              </w:rPr>
            </w:pPr>
            <w:r w:rsidRPr="00C134B6">
              <w:rPr>
                <w:rFonts w:eastAsia="Times New Roman" w:cs="Times New Roman"/>
                <w:sz w:val="18"/>
                <w:szCs w:val="18"/>
              </w:rPr>
              <w:t xml:space="preserve">Convenio de Coordinación y Colaboración que celebran la Representación del Gobierno del Estado de Oaxaca y la Secretaria General de Gobierno asistida por la Dirección del Registro Civil para establecer los mecanismos y acciones para llevar a cabo la prestación de los servicios a cargo de la Dirección del Registro Civil, a fin de garantizar el </w:t>
            </w:r>
            <w:r w:rsidRPr="00C134B6">
              <w:rPr>
                <w:rFonts w:eastAsia="Times New Roman" w:cs="Times New Roman"/>
                <w:sz w:val="18"/>
                <w:szCs w:val="18"/>
              </w:rPr>
              <w:lastRenderedPageBreak/>
              <w:t>derecho a la identidad para todos los oaxaqueños radicados en el distrito federal y zonas conurbadas.</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lastRenderedPageBreak/>
              <w:t xml:space="preserve"> Coordinación Operativa. Depto. de Atención y Enlace Ciudadano; Depto. de Fomento Cultural y Turismo.</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Depto. de Comunicación Social y Relaciones Públicas.</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La vigencia de este Convenio  expira el 30/10/2016</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XXI </w:t>
            </w:r>
            <w:r w:rsidRPr="00C134B6">
              <w:rPr>
                <w:rFonts w:eastAsia="Times New Roman" w:cs="Times New Roman"/>
                <w:i/>
                <w:iCs/>
                <w:sz w:val="18"/>
                <w:szCs w:val="18"/>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Artículo  81 .Ley Estatal de Presupuesto y Responsabilidad Hacendaria y Ley General de Contabilidad Hacendaria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pStyle w:val="Prrafodelista"/>
              <w:numPr>
                <w:ilvl w:val="0"/>
                <w:numId w:val="8"/>
              </w:numPr>
              <w:spacing w:after="0" w:line="240" w:lineRule="auto"/>
              <w:ind w:left="72"/>
              <w:jc w:val="both"/>
              <w:rPr>
                <w:rFonts w:eastAsia="Times New Roman" w:cs="Times New Roman"/>
                <w:sz w:val="18"/>
                <w:szCs w:val="18"/>
              </w:rPr>
            </w:pPr>
            <w:r w:rsidRPr="00C134B6">
              <w:rPr>
                <w:rFonts w:eastAsia="Times New Roman" w:cs="Times New Roman"/>
                <w:sz w:val="18"/>
                <w:szCs w:val="18"/>
              </w:rPr>
              <w:t>Reglamento Interno de la RGODF, Artículo 12.</w:t>
            </w:r>
          </w:p>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Secretaría de Finanzas </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XXII </w:t>
            </w:r>
            <w:r w:rsidRPr="00C134B6">
              <w:rPr>
                <w:rFonts w:eastAsia="Times New Roman" w:cs="Times New Roman"/>
                <w:i/>
                <w:iCs/>
                <w:sz w:val="18"/>
                <w:szCs w:val="18"/>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NO</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 acuerdo a las disposiciones aplicables, esta atribución no se encuentra en el ámbito de la competencia de este órgano auxiliar.</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Art.10 de la Ley de Deuda Pública y Art. 4 fracción X  de la Ley General de Contabilidad Hacendaria </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Secretaría de Finanzas </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XXIII </w:t>
            </w:r>
            <w:r w:rsidRPr="00C134B6">
              <w:rPr>
                <w:rFonts w:eastAsia="Times New Roman" w:cs="Times New Roman"/>
                <w:i/>
                <w:iCs/>
                <w:sz w:val="18"/>
                <w:szCs w:val="18"/>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FC1AB8">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XXIV </w:t>
            </w:r>
            <w:r w:rsidRPr="00C134B6">
              <w:rPr>
                <w:rFonts w:eastAsia="Times New Roman" w:cs="Times New Roman"/>
                <w:i/>
                <w:iCs/>
                <w:sz w:val="18"/>
                <w:szCs w:val="18"/>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Interno de la RGODF, Artículo 12</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Administrativo</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Informe del Año que se auditó</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XXV </w:t>
            </w:r>
            <w:r w:rsidRPr="00C134B6">
              <w:rPr>
                <w:rFonts w:eastAsia="Times New Roman" w:cs="Times New Roman"/>
                <w:i/>
                <w:iCs/>
                <w:sz w:val="18"/>
                <w:szCs w:val="18"/>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NO</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 acuerdo a las disposiciones aplicables, esta atribución no se encuentra en el ámbito de la competencia de este órgano auxiliar además por no encontrarse en los supuestos establecidos en el Código Fiscal de la Federación</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Interno de la RGODF, Artículo 12 y 32 A del Código Fiscal de la Federación.</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XXVI </w:t>
            </w:r>
            <w:r w:rsidRPr="00C134B6">
              <w:rPr>
                <w:rFonts w:eastAsia="Times New Roman" w:cs="Times New Roman"/>
                <w:i/>
                <w:iCs/>
                <w:sz w:val="18"/>
                <w:szCs w:val="1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NO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jc w:val="both"/>
            </w:pPr>
            <w:r w:rsidRPr="00C134B6">
              <w:rPr>
                <w:rFonts w:eastAsia="Times New Roman" w:cs="Times New Roman"/>
                <w:sz w:val="18"/>
                <w:szCs w:val="18"/>
              </w:rPr>
              <w:t>De acuerdo a las disposiciones aplicables, esta atribución no se encuentra en el ámbito de la competencia de este órgano auxiliar.</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jc w:val="both"/>
            </w:pPr>
            <w:r w:rsidRPr="00C134B6">
              <w:rPr>
                <w:rFonts w:eastAsia="Times New Roman" w:cs="Times New Roman"/>
                <w:sz w:val="18"/>
                <w:szCs w:val="18"/>
              </w:rPr>
              <w:t>•Reglamento Interno de la RGODF, Artículo 12</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XXVII </w:t>
            </w:r>
            <w:r w:rsidRPr="00C134B6">
              <w:rPr>
                <w:rFonts w:eastAsia="Times New Roman" w:cs="Times New Roman"/>
                <w:i/>
                <w:iCs/>
                <w:sz w:val="18"/>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APLICA </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jc w:val="both"/>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jc w:val="both"/>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XXVIII </w:t>
            </w:r>
            <w:r w:rsidRPr="00C134B6">
              <w:rPr>
                <w:rFonts w:eastAsia="Times New Roman" w:cs="Times New Roman"/>
                <w:i/>
                <w:iCs/>
                <w:sz w:val="18"/>
                <w:szCs w:val="18"/>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NO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jc w:val="both"/>
            </w:pPr>
            <w:r w:rsidRPr="00C134B6">
              <w:rPr>
                <w:rFonts w:eastAsia="Times New Roman" w:cs="Times New Roman"/>
                <w:sz w:val="18"/>
                <w:szCs w:val="18"/>
              </w:rPr>
              <w:t>De acuerdo a las disposiciones aplicables, esta atribución no se encuentra en el ámbito de la competencia de este órgano auxiliar.</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jc w:val="both"/>
            </w:pPr>
            <w:r w:rsidRPr="00C134B6">
              <w:rPr>
                <w:rFonts w:eastAsia="Times New Roman" w:cs="Times New Roman"/>
                <w:sz w:val="18"/>
                <w:szCs w:val="18"/>
              </w:rPr>
              <w:t xml:space="preserve">•Reglamento Interno de la RGODF. </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XXIX </w:t>
            </w:r>
            <w:r w:rsidRPr="00C134B6">
              <w:rPr>
                <w:rFonts w:eastAsia="Times New Roman" w:cs="Times New Roman"/>
                <w:i/>
                <w:iCs/>
                <w:sz w:val="18"/>
                <w:szCs w:val="18"/>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Elabora principales logros y cumplimiento de objetivos y acciones estratégicas de la  RGODF, así como coadyuvar en la conformación del Informe anual de la Administración </w:t>
            </w:r>
            <w:proofErr w:type="spellStart"/>
            <w:r w:rsidRPr="00C134B6">
              <w:rPr>
                <w:rFonts w:eastAsia="Times New Roman" w:cs="Times New Roman"/>
                <w:sz w:val="18"/>
                <w:szCs w:val="18"/>
              </w:rPr>
              <w:t>Publica</w:t>
            </w:r>
            <w:proofErr w:type="spellEnd"/>
            <w:r w:rsidRPr="00C134B6">
              <w:rPr>
                <w:rFonts w:eastAsia="Times New Roman" w:cs="Times New Roman"/>
                <w:sz w:val="18"/>
                <w:szCs w:val="18"/>
              </w:rPr>
              <w:t xml:space="preserve"> Estatal</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Del Estado de Oaxaca, Artículo 50 fracción V,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Interno Artículo 10 fracción V.</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Coordinación Operativa </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Informes trimestrales y Anual</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 </w:t>
            </w:r>
            <w:r w:rsidRPr="00C134B6">
              <w:rPr>
                <w:rFonts w:eastAsia="Times New Roman" w:cs="Times New Roman"/>
                <w:i/>
                <w:iCs/>
                <w:sz w:val="18"/>
                <w:szCs w:val="18"/>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jc w:val="both"/>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jc w:val="both"/>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XXXI </w:t>
            </w:r>
            <w:r w:rsidRPr="00C134B6">
              <w:rPr>
                <w:rFonts w:eastAsia="Times New Roman" w:cs="Times New Roman"/>
                <w:i/>
                <w:iCs/>
                <w:sz w:val="18"/>
                <w:szCs w:val="18"/>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Publicar y actualizar la información financiera </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General de Contabilidad Gubernamental.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Interno de la RGODF, Artículo 12</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Estados Financieros de los cuadernos contables </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XXXII </w:t>
            </w:r>
            <w:r w:rsidRPr="00C134B6">
              <w:rPr>
                <w:rFonts w:eastAsia="Times New Roman" w:cs="Times New Roman"/>
                <w:i/>
                <w:iCs/>
                <w:sz w:val="18"/>
                <w:szCs w:val="18"/>
              </w:rPr>
              <w:t>Padrón de proveedores y contratistas;</w:t>
            </w:r>
          </w:p>
        </w:tc>
        <w:tc>
          <w:tcPr>
            <w:tcW w:w="1457" w:type="dxa"/>
            <w:tcBorders>
              <w:top w:val="nil"/>
              <w:left w:val="nil"/>
              <w:bottom w:val="single" w:sz="4" w:space="0" w:color="auto"/>
              <w:right w:val="single" w:sz="4" w:space="0" w:color="auto"/>
            </w:tcBorders>
            <w:shd w:val="clear" w:color="auto" w:fill="auto"/>
            <w:noWrap/>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 www.administracion.oaxaca.gob.mx</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XXXIII </w:t>
            </w:r>
            <w:r w:rsidRPr="00C134B6">
              <w:rPr>
                <w:rFonts w:eastAsia="Times New Roman" w:cs="Times New Roman"/>
                <w:i/>
                <w:iCs/>
                <w:sz w:val="18"/>
                <w:szCs w:val="18"/>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p w:rsidR="00C134B6" w:rsidRPr="00C134B6" w:rsidRDefault="00C134B6" w:rsidP="00C44B0C">
            <w:pPr>
              <w:spacing w:after="0" w:line="240" w:lineRule="auto"/>
              <w:jc w:val="both"/>
              <w:rPr>
                <w:rFonts w:eastAsia="Times New Roman" w:cs="Times New Roman"/>
                <w:sz w:val="18"/>
                <w:szCs w:val="18"/>
              </w:rPr>
            </w:pP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Es aplicable en términos de los Lineamientos Técnicos Generales para la publicación, </w:t>
            </w:r>
            <w:r w:rsidRPr="00C134B6">
              <w:rPr>
                <w:rFonts w:eastAsia="Times New Roman" w:cs="Times New Roman"/>
                <w:sz w:val="18"/>
                <w:szCs w:val="18"/>
              </w:rPr>
              <w:lastRenderedPageBreak/>
              <w:t>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lastRenderedPageBreak/>
              <w:t>VALIDADA</w:t>
            </w:r>
          </w:p>
        </w:tc>
      </w:tr>
      <w:tr w:rsidR="00C134B6" w:rsidRPr="00C134B6" w:rsidTr="00C134B6">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XXXIV </w:t>
            </w:r>
            <w:r w:rsidRPr="00C134B6">
              <w:rPr>
                <w:rFonts w:eastAsia="Times New Roman" w:cs="Times New Roman"/>
                <w:i/>
                <w:iCs/>
                <w:sz w:val="18"/>
                <w:szCs w:val="18"/>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XXXV </w:t>
            </w:r>
            <w:r w:rsidRPr="00C134B6">
              <w:rPr>
                <w:rFonts w:eastAsia="Times New Roman" w:cs="Times New Roman"/>
                <w:i/>
                <w:iCs/>
                <w:sz w:val="18"/>
                <w:szCs w:val="18"/>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XXXVI </w:t>
            </w:r>
            <w:r w:rsidRPr="00C134B6">
              <w:rPr>
                <w:rFonts w:eastAsia="Times New Roman" w:cs="Times New Roman"/>
                <w:i/>
                <w:iCs/>
                <w:sz w:val="18"/>
                <w:szCs w:val="18"/>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NO</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 acuerdo a las disposiciones aplicables, esta atribución no se encuentra en el ámbito de la competencia de este órgano auxiliar.</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Interno de la RGODF.</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XXXVII </w:t>
            </w:r>
            <w:r w:rsidRPr="00C134B6">
              <w:rPr>
                <w:rFonts w:eastAsia="Times New Roman" w:cs="Times New Roman"/>
                <w:i/>
                <w:iCs/>
                <w:sz w:val="18"/>
                <w:szCs w:val="18"/>
              </w:rPr>
              <w:t>Los mecanismos de participación ciudadana;</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 en relación con el artículo 25 inciso C  fracción IV de la Constitución Política del estado Libre y Soberano de Oaxaca</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XXXVIII </w:t>
            </w:r>
            <w:r w:rsidRPr="00C134B6">
              <w:rPr>
                <w:rFonts w:eastAsia="Times New Roman" w:cs="Times New Roman"/>
                <w:i/>
                <w:iCs/>
                <w:sz w:val="18"/>
                <w:szCs w:val="18"/>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NO</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 acuerdo a las disposiciones aplicables, esta atribución no se encuentra en el ámbito de la competencia de este órgano auxiliar.</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•Reglamento Interno de la RGODF </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XXXIX </w:t>
            </w:r>
            <w:r w:rsidRPr="00C134B6">
              <w:rPr>
                <w:rFonts w:eastAsia="Times New Roman" w:cs="Times New Roman"/>
                <w:i/>
                <w:iCs/>
                <w:sz w:val="18"/>
                <w:szCs w:val="18"/>
              </w:rPr>
              <w:t>Las actas y resoluciones del Comité de Transparencia de los sujetos obligados;</w:t>
            </w:r>
          </w:p>
        </w:tc>
        <w:tc>
          <w:tcPr>
            <w:tcW w:w="1457" w:type="dxa"/>
            <w:tcBorders>
              <w:top w:val="single" w:sz="4" w:space="0" w:color="auto"/>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single" w:sz="4" w:space="0" w:color="auto"/>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Información pública de oficio. Aplica a todos los sujetos obligados</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del Estado de Oaxaca, Artículos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w:t>
            </w:r>
            <w:r w:rsidRPr="00C134B6">
              <w:rPr>
                <w:rFonts w:eastAsia="Times New Roman" w:cs="Times New Roman"/>
                <w:sz w:val="18"/>
                <w:szCs w:val="18"/>
              </w:rPr>
              <w:tab/>
              <w:t>Reglamento Interno de la RGODF, Artículo 11 y 16</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Operativa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XL </w:t>
            </w:r>
            <w:r w:rsidRPr="00C134B6">
              <w:rPr>
                <w:rFonts w:eastAsia="Times New Roman" w:cs="Times New Roman"/>
                <w:i/>
                <w:iCs/>
                <w:sz w:val="18"/>
                <w:szCs w:val="18"/>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NO APLICA</w:t>
            </w:r>
          </w:p>
        </w:tc>
        <w:tc>
          <w:tcPr>
            <w:tcW w:w="1541" w:type="dxa"/>
            <w:tcBorders>
              <w:top w:val="single" w:sz="4" w:space="0" w:color="auto"/>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 acuerdo a las disposiciones aplicables, esta atribución no se encuentra en el ámbito de la competencia de este órgano auxiliar.</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17F83">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17F83">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17F83">
            <w:pPr>
              <w:spacing w:after="0" w:line="240" w:lineRule="auto"/>
              <w:jc w:val="both"/>
              <w:rPr>
                <w:rFonts w:eastAsia="Times New Roman" w:cs="Times New Roman"/>
                <w:sz w:val="18"/>
                <w:szCs w:val="18"/>
              </w:rPr>
            </w:pPr>
            <w:r w:rsidRPr="00C134B6">
              <w:rPr>
                <w:rFonts w:eastAsia="Times New Roman" w:cs="Times New Roman"/>
                <w:sz w:val="18"/>
                <w:szCs w:val="18"/>
              </w:rPr>
              <w:t>•Reglamento Interno de la RGODF</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XLI </w:t>
            </w:r>
            <w:r w:rsidRPr="00C134B6">
              <w:rPr>
                <w:rFonts w:eastAsia="Times New Roman" w:cs="Times New Roman"/>
                <w:i/>
                <w:iCs/>
                <w:sz w:val="18"/>
                <w:szCs w:val="18"/>
              </w:rPr>
              <w:t>Los estudios financiados con recursos públicos;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NO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 acuerdo a las disposiciones aplicables, esta atribución no se encuentra en el ámbito de la competencia de este órgano auxiliar.</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•Reglamento Interno de la RGODF </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t>…</w:t>
            </w:r>
          </w:p>
        </w:tc>
        <w:tc>
          <w:tcPr>
            <w:tcW w:w="3239" w:type="dxa"/>
            <w:tcBorders>
              <w:top w:val="single" w:sz="4" w:space="0" w:color="auto"/>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XLII </w:t>
            </w:r>
            <w:r w:rsidRPr="00C134B6">
              <w:rPr>
                <w:rFonts w:eastAsia="Times New Roman" w:cs="Times New Roman"/>
                <w:i/>
                <w:iCs/>
                <w:sz w:val="18"/>
                <w:szCs w:val="18"/>
              </w:rPr>
              <w:t>El listado de jubilados y pensionados y el monto que reciben;</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p w:rsidR="00C134B6" w:rsidRPr="00C134B6" w:rsidRDefault="00C134B6" w:rsidP="00C44B0C">
            <w:pPr>
              <w:spacing w:after="0" w:line="240" w:lineRule="auto"/>
              <w:jc w:val="both"/>
              <w:rPr>
                <w:rFonts w:eastAsia="Times New Roman" w:cs="Times New Roman"/>
                <w:sz w:val="18"/>
                <w:szCs w:val="18"/>
              </w:rPr>
            </w:pP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EF629E">
            <w:pPr>
              <w:pStyle w:val="Prrafodelista"/>
              <w:spacing w:after="0" w:line="240" w:lineRule="auto"/>
              <w:ind w:left="72"/>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17F83">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 la información se podrá consultar en la página electrónica http://www.PENSIONES.gob.mx/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t>…</w:t>
            </w:r>
          </w:p>
        </w:tc>
        <w:tc>
          <w:tcPr>
            <w:tcW w:w="3239" w:type="dxa"/>
            <w:tcBorders>
              <w:top w:val="single" w:sz="4" w:space="0" w:color="auto"/>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XLIII </w:t>
            </w:r>
            <w:r w:rsidRPr="00C134B6">
              <w:rPr>
                <w:rFonts w:eastAsia="Times New Roman" w:cs="Times New Roman"/>
                <w:i/>
                <w:iCs/>
                <w:sz w:val="18"/>
                <w:szCs w:val="18"/>
              </w:rPr>
              <w:t>Los ingresos recibidos por cualquier concepto señalando el nombre de los responsables de recibirlos, administrarlos y ejercerlos, así como su destino, indicando el destino de cada uno de ellos;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t>…</w:t>
            </w:r>
          </w:p>
        </w:tc>
        <w:tc>
          <w:tcPr>
            <w:tcW w:w="3239" w:type="dxa"/>
            <w:tcBorders>
              <w:top w:val="nil"/>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XLIV </w:t>
            </w:r>
            <w:r w:rsidRPr="00C134B6">
              <w:rPr>
                <w:rFonts w:eastAsia="Times New Roman" w:cs="Times New Roman"/>
                <w:i/>
                <w:iCs/>
                <w:sz w:val="18"/>
                <w:szCs w:val="18"/>
              </w:rPr>
              <w:t>Donaciones hechas a terceros en dinero o en especie;</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Coordinación Administrativa</w:t>
            </w:r>
          </w:p>
        </w:tc>
        <w:tc>
          <w:tcPr>
            <w:tcW w:w="1559" w:type="dxa"/>
            <w:tcBorders>
              <w:top w:val="nil"/>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Es aplicable en términos de los Lineamientos Técnicos Generales para la publicación, homologación y estandarización de la información en relación con los artículos 2 fracción XX y 76 de la Ley Estatal de Presupuesto y Responsabilidad Hacendaria.</w:t>
            </w:r>
          </w:p>
        </w:tc>
        <w:tc>
          <w:tcPr>
            <w:tcW w:w="1275" w:type="dxa"/>
            <w:tcBorders>
              <w:top w:val="nil"/>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XLV </w:t>
            </w:r>
            <w:r w:rsidRPr="00C134B6">
              <w:rPr>
                <w:rFonts w:eastAsia="Times New Roman" w:cs="Times New Roman"/>
                <w:i/>
                <w:iCs/>
                <w:sz w:val="18"/>
                <w:szCs w:val="18"/>
              </w:rPr>
              <w:t>El catálogo de disposición y guía de archivo documental;</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Información pública de oficio. Aplica a todos los sujetos obligados</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Ley General de Transparencia y Acceso a la Información Pública.</w:t>
            </w:r>
          </w:p>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 xml:space="preserve">Ley de Transparencia y Acceso a la Información Pública para el Estado de Oaxaca. </w:t>
            </w:r>
          </w:p>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 xml:space="preserve">Ley de Archivos de Archivos del Estado de Oaxaca </w:t>
            </w:r>
          </w:p>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 xml:space="preserve">Reglamento  de los Archivos del </w:t>
            </w:r>
            <w:r w:rsidRPr="00C134B6">
              <w:rPr>
                <w:rFonts w:eastAsia="Times New Roman" w:cs="Times New Roman"/>
                <w:sz w:val="18"/>
                <w:szCs w:val="18"/>
              </w:rPr>
              <w:lastRenderedPageBreak/>
              <w:t xml:space="preserve">Poder Ejecutivo del Estado de Oaxaca </w:t>
            </w:r>
          </w:p>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Reglamento Interno de la RGODF, 14 y 16</w:t>
            </w:r>
          </w:p>
          <w:p w:rsidR="00C134B6" w:rsidRPr="00C134B6" w:rsidRDefault="00C134B6" w:rsidP="00C44B0C">
            <w:pPr>
              <w:pStyle w:val="Prrafodelista"/>
              <w:numPr>
                <w:ilvl w:val="0"/>
                <w:numId w:val="1"/>
              </w:numPr>
              <w:spacing w:after="0" w:line="240" w:lineRule="auto"/>
              <w:ind w:left="72" w:hanging="142"/>
              <w:jc w:val="both"/>
              <w:rPr>
                <w:rFonts w:eastAsia="Times New Roman" w:cs="Times New Roman"/>
                <w:sz w:val="18"/>
                <w:szCs w:val="18"/>
              </w:rPr>
            </w:pPr>
            <w:r w:rsidRPr="00C134B6">
              <w:rPr>
                <w:rFonts w:eastAsia="Times New Roman" w:cs="Times New Roman"/>
                <w:sz w:val="18"/>
                <w:szCs w:val="18"/>
              </w:rPr>
              <w:t xml:space="preserve">Lineamientos para la Organización y Custodia  de los Archivos del Poder Ejecutivo del Estado de Oaxaca, </w:t>
            </w:r>
          </w:p>
        </w:tc>
        <w:tc>
          <w:tcPr>
            <w:tcW w:w="1276" w:type="dxa"/>
            <w:tcBorders>
              <w:top w:val="single" w:sz="4" w:space="0" w:color="auto"/>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lastRenderedPageBreak/>
              <w:t xml:space="preserve">Coordinación Operativa </w:t>
            </w:r>
          </w:p>
        </w:tc>
        <w:tc>
          <w:tcPr>
            <w:tcW w:w="1559" w:type="dxa"/>
            <w:tcBorders>
              <w:top w:val="single" w:sz="4" w:space="0" w:color="auto"/>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XLVI </w:t>
            </w:r>
            <w:r w:rsidRPr="00C134B6">
              <w:rPr>
                <w:rFonts w:eastAsia="Times New Roman" w:cs="Times New Roman"/>
                <w:i/>
                <w:iCs/>
                <w:sz w:val="18"/>
                <w:szCs w:val="18"/>
              </w:rPr>
              <w:t>Las actas de sesiones ordinarias y extraordinarias, así como las opiniones y recomendaciones que emitan, en su caso, los consejos consultivos;</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NO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 acuerdo a las disposiciones aplicables, esta atribución no se encuentra en el ámbito de la competencia de este órgano auxiliar.</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•Reglamento Interno de la RGODF </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Arial"/>
                <w:b/>
                <w:bCs/>
                <w:i/>
                <w:iCs/>
                <w:sz w:val="18"/>
                <w:szCs w:val="18"/>
              </w:rPr>
              <w:t xml:space="preserve">Fracción XLVII </w:t>
            </w:r>
            <w:r w:rsidRPr="00C134B6">
              <w:rPr>
                <w:rFonts w:eastAsia="Times New Roman" w:cs="Arial"/>
                <w:i/>
                <w:iCs/>
                <w:sz w:val="18"/>
                <w:szCs w:val="18"/>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NO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 acuerdo a las disposiciones aplicables, esta atribución no se encuentra en el ámbito de la competencia de este órgano auxiliar.</w:t>
            </w:r>
          </w:p>
        </w:tc>
        <w:tc>
          <w:tcPr>
            <w:tcW w:w="2693" w:type="dxa"/>
            <w:tcBorders>
              <w:top w:val="nil"/>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•Reglamento Interno de la RGODF </w:t>
            </w:r>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r w:rsidR="00C134B6" w:rsidRPr="00C134B6" w:rsidTr="00C134B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lastRenderedPageBreak/>
              <w:t>Artículo 70</w:t>
            </w:r>
            <w:r w:rsidRPr="00C134B6">
              <w:rPr>
                <w:rFonts w:eastAsia="Times New Roman" w:cs="Times New Roman"/>
                <w:b/>
                <w:bCs/>
                <w:i/>
                <w:iCs/>
                <w:sz w:val="18"/>
                <w:szCs w:val="18"/>
              </w:rPr>
              <w:br/>
            </w:r>
            <w:r w:rsidRPr="00C134B6">
              <w:rPr>
                <w:rFonts w:eastAsia="Times New Roman" w:cs="Times New Roman"/>
                <w:i/>
                <w:iCs/>
                <w:sz w:val="18"/>
                <w:szCs w:val="18"/>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C134B6" w:rsidRPr="00C134B6" w:rsidRDefault="00C134B6" w:rsidP="00C44B0C">
            <w:pPr>
              <w:spacing w:after="0" w:line="240" w:lineRule="auto"/>
              <w:jc w:val="both"/>
              <w:rPr>
                <w:rFonts w:eastAsia="Times New Roman" w:cs="Times New Roman"/>
                <w:i/>
                <w:iCs/>
                <w:sz w:val="18"/>
                <w:szCs w:val="18"/>
              </w:rPr>
            </w:pPr>
            <w:r w:rsidRPr="00C134B6">
              <w:rPr>
                <w:rFonts w:eastAsia="Times New Roman" w:cs="Times New Roman"/>
                <w:b/>
                <w:bCs/>
                <w:i/>
                <w:iCs/>
                <w:sz w:val="18"/>
                <w:szCs w:val="18"/>
              </w:rPr>
              <w:t xml:space="preserve">Fracción XLVIII </w:t>
            </w:r>
            <w:r w:rsidRPr="00C134B6">
              <w:rPr>
                <w:rFonts w:eastAsia="Times New Roman" w:cs="Times New Roman"/>
                <w:i/>
                <w:iCs/>
                <w:sz w:val="18"/>
                <w:szCs w:val="18"/>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APLICA</w:t>
            </w:r>
          </w:p>
        </w:tc>
        <w:tc>
          <w:tcPr>
            <w:tcW w:w="1541" w:type="dxa"/>
            <w:tcBorders>
              <w:top w:val="single" w:sz="4" w:space="0" w:color="auto"/>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Fortalecer la transparencia y rendición de cuentas al ciudadano usuario. </w:t>
            </w:r>
          </w:p>
        </w:tc>
        <w:tc>
          <w:tcPr>
            <w:tcW w:w="2693" w:type="dxa"/>
            <w:tcBorders>
              <w:top w:val="single" w:sz="4" w:space="0" w:color="auto"/>
              <w:left w:val="nil"/>
              <w:bottom w:val="single" w:sz="4" w:space="0" w:color="auto"/>
              <w:right w:val="single" w:sz="4" w:space="0" w:color="auto"/>
            </w:tcBorders>
            <w:shd w:val="clear" w:color="auto" w:fill="auto"/>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Ley Orgánica del Poder Ejecutivo </w:t>
            </w:r>
          </w:p>
          <w:p w:rsidR="00C134B6" w:rsidRPr="00C134B6" w:rsidRDefault="00C134B6" w:rsidP="00C44B0C">
            <w:pPr>
              <w:spacing w:after="0" w:line="240" w:lineRule="auto"/>
              <w:jc w:val="both"/>
              <w:rPr>
                <w:rFonts w:eastAsia="Times New Roman" w:cs="Times New Roman"/>
                <w:sz w:val="18"/>
                <w:szCs w:val="18"/>
              </w:rPr>
            </w:pPr>
            <w:proofErr w:type="gramStart"/>
            <w:r w:rsidRPr="00C134B6">
              <w:rPr>
                <w:rFonts w:eastAsia="Times New Roman" w:cs="Times New Roman"/>
                <w:sz w:val="18"/>
                <w:szCs w:val="18"/>
              </w:rPr>
              <w:t>del</w:t>
            </w:r>
            <w:proofErr w:type="gramEnd"/>
            <w:r w:rsidRPr="00C134B6">
              <w:rPr>
                <w:rFonts w:eastAsia="Times New Roman" w:cs="Times New Roman"/>
                <w:sz w:val="18"/>
                <w:szCs w:val="18"/>
              </w:rPr>
              <w:t xml:space="preserve"> Estado de Oaxaca, Artículo 33 y 54.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Reglamento Interno de la RGODF, Artículo 5, 13, 14, 15.</w:t>
            </w:r>
            <w:bookmarkStart w:id="0" w:name="_GoBack"/>
            <w:bookmarkEnd w:id="0"/>
          </w:p>
        </w:tc>
        <w:tc>
          <w:tcPr>
            <w:tcW w:w="1276" w:type="dxa"/>
            <w:tcBorders>
              <w:top w:val="single" w:sz="4" w:space="0" w:color="auto"/>
              <w:left w:val="nil"/>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Coordinación Administrativa </w:t>
            </w:r>
          </w:p>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Depto. de Atención y Enlace Ciudadano; Depto. de Fomento Cultural y Turismo.</w:t>
            </w:r>
          </w:p>
          <w:p w:rsidR="00C134B6" w:rsidRPr="00C134B6" w:rsidRDefault="00C134B6" w:rsidP="00C44B0C">
            <w:pPr>
              <w:spacing w:after="0" w:line="240" w:lineRule="auto"/>
              <w:ind w:left="708" w:hanging="708"/>
              <w:jc w:val="both"/>
              <w:rPr>
                <w:rFonts w:eastAsia="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134B6" w:rsidRPr="00C134B6" w:rsidRDefault="00C134B6" w:rsidP="00C44B0C">
            <w:pPr>
              <w:spacing w:after="0" w:line="240" w:lineRule="auto"/>
              <w:jc w:val="both"/>
              <w:rPr>
                <w:rFonts w:eastAsia="Times New Roman" w:cs="Times New Roman"/>
                <w:sz w:val="18"/>
                <w:szCs w:val="18"/>
              </w:rPr>
            </w:pPr>
            <w:r w:rsidRPr="00C134B6">
              <w:rPr>
                <w:rFonts w:eastAsia="Times New Roman" w:cs="Times New Roman"/>
                <w:sz w:val="18"/>
                <w:szCs w:val="18"/>
              </w:rPr>
              <w:t xml:space="preserve">Validar información en el   Formato de Lineamientos para Determinar los Catálogos y Publicación de Información de Interés Público aprobados por el Sistema Nacional.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134B6" w:rsidRDefault="00C134B6" w:rsidP="00C134B6">
            <w:pPr>
              <w:jc w:val="center"/>
            </w:pPr>
            <w:r w:rsidRPr="00511B8C">
              <w:t>VALIDADA</w:t>
            </w:r>
          </w:p>
        </w:tc>
      </w:tr>
    </w:tbl>
    <w:p w:rsidR="00406E9E" w:rsidRPr="00C134B6" w:rsidRDefault="00406E9E" w:rsidP="00EF629E">
      <w:pPr>
        <w:jc w:val="both"/>
        <w:rPr>
          <w:b/>
        </w:rPr>
      </w:pPr>
    </w:p>
    <w:p w:rsidR="00C134B6" w:rsidRPr="00C134B6" w:rsidRDefault="00C134B6" w:rsidP="00C134B6">
      <w:pPr>
        <w:tabs>
          <w:tab w:val="left" w:pos="216"/>
        </w:tabs>
        <w:spacing w:after="0" w:line="240" w:lineRule="auto"/>
        <w:jc w:val="both"/>
        <w:rPr>
          <w:rFonts w:ascii="Calibri" w:eastAsia="Calibri" w:hAnsi="Calibri" w:cs="Calibri"/>
          <w:lang w:val="es-ES_tradnl"/>
        </w:rPr>
      </w:pPr>
      <w:r w:rsidRPr="00C134B6">
        <w:rPr>
          <w:rFonts w:ascii="Calibri" w:eastAsia="Calibri" w:hAnsi="Calibri" w:cs="Calibri"/>
          <w:lang w:val="es-ES_tradnl"/>
        </w:rPr>
        <w:t xml:space="preserve">La validación de la  presente  tabla de aplicabilidad es susceptible de ser modificada cuando lo considere viable este Órgano Garante con base a la normatividad en la materia. </w:t>
      </w:r>
    </w:p>
    <w:p w:rsidR="00C134B6" w:rsidRPr="00C134B6" w:rsidRDefault="00C134B6" w:rsidP="00C134B6">
      <w:pPr>
        <w:spacing w:after="0" w:line="240" w:lineRule="auto"/>
        <w:jc w:val="right"/>
        <w:rPr>
          <w:rFonts w:ascii="Times New Roman" w:eastAsia="Arial Unicode MS" w:hAnsi="Times New Roman" w:cs="Times New Roman"/>
          <w:b/>
          <w:i/>
          <w:sz w:val="18"/>
          <w:szCs w:val="18"/>
          <w:lang w:eastAsia="en-US"/>
        </w:rPr>
      </w:pPr>
      <w:r w:rsidRPr="00C134B6">
        <w:rPr>
          <w:rFonts w:ascii="Times New Roman" w:eastAsia="Arial Unicode MS" w:hAnsi="Times New Roman" w:cs="Times New Roman"/>
          <w:sz w:val="24"/>
          <w:szCs w:val="24"/>
          <w:lang w:eastAsia="en-US"/>
        </w:rPr>
        <w:t xml:space="preserve">Oaxaca de Juárez </w:t>
      </w:r>
      <w:proofErr w:type="spellStart"/>
      <w:r w:rsidRPr="00C134B6">
        <w:rPr>
          <w:rFonts w:ascii="Times New Roman" w:eastAsia="Arial Unicode MS" w:hAnsi="Times New Roman" w:cs="Times New Roman"/>
          <w:sz w:val="24"/>
          <w:szCs w:val="24"/>
          <w:lang w:eastAsia="en-US"/>
        </w:rPr>
        <w:t>Oax</w:t>
      </w:r>
      <w:proofErr w:type="spellEnd"/>
      <w:r w:rsidRPr="00C134B6">
        <w:rPr>
          <w:rFonts w:ascii="Times New Roman" w:eastAsia="Arial Unicode MS" w:hAnsi="Times New Roman" w:cs="Times New Roman"/>
          <w:sz w:val="24"/>
          <w:szCs w:val="24"/>
          <w:lang w:eastAsia="en-US"/>
        </w:rPr>
        <w:t>., tres  de febrero de dos mil diecisiete.</w:t>
      </w:r>
    </w:p>
    <w:p w:rsidR="00C134B6" w:rsidRPr="00C134B6" w:rsidRDefault="00C134B6" w:rsidP="00C134B6">
      <w:pPr>
        <w:tabs>
          <w:tab w:val="left" w:pos="11303"/>
        </w:tabs>
        <w:spacing w:after="0" w:line="240" w:lineRule="auto"/>
        <w:rPr>
          <w:rFonts w:ascii="Times New Roman" w:eastAsia="Arial Unicode MS" w:hAnsi="Times New Roman" w:cs="Times New Roman"/>
          <w:b/>
          <w:sz w:val="18"/>
          <w:szCs w:val="18"/>
          <w:lang w:eastAsia="en-US"/>
        </w:rPr>
      </w:pPr>
      <w:r w:rsidRPr="00C134B6">
        <w:rPr>
          <w:rFonts w:ascii="Times New Roman" w:eastAsia="Arial Unicode MS" w:hAnsi="Times New Roman" w:cs="Times New Roman"/>
          <w:b/>
          <w:sz w:val="18"/>
          <w:szCs w:val="18"/>
          <w:lang w:eastAsia="en-US"/>
        </w:rPr>
        <w:tab/>
      </w:r>
    </w:p>
    <w:p w:rsidR="00C134B6" w:rsidRPr="00C134B6" w:rsidRDefault="00C134B6" w:rsidP="00C134B6">
      <w:pPr>
        <w:spacing w:after="0" w:line="240" w:lineRule="auto"/>
        <w:rPr>
          <w:rFonts w:ascii="Times New Roman" w:eastAsia="Arial Unicode MS" w:hAnsi="Times New Roman" w:cs="Times New Roman"/>
          <w:sz w:val="24"/>
          <w:szCs w:val="24"/>
          <w:lang w:eastAsia="en-US"/>
        </w:rPr>
      </w:pPr>
      <w:r w:rsidRPr="00C134B6">
        <w:rPr>
          <w:rFonts w:ascii="Times New Roman" w:eastAsia="Arial Unicode MS" w:hAnsi="Times New Roman" w:cs="Times New Roman"/>
          <w:sz w:val="24"/>
          <w:szCs w:val="24"/>
          <w:lang w:eastAsia="en-US"/>
        </w:rPr>
        <w:t xml:space="preserve">              ELABORÓ                                                                                                                                               </w:t>
      </w:r>
      <w:proofErr w:type="spellStart"/>
      <w:r w:rsidRPr="00C134B6">
        <w:rPr>
          <w:rFonts w:ascii="Times New Roman" w:eastAsia="Arial Unicode MS" w:hAnsi="Times New Roman" w:cs="Times New Roman"/>
          <w:sz w:val="24"/>
          <w:szCs w:val="24"/>
          <w:lang w:eastAsia="en-US"/>
        </w:rPr>
        <w:t>Vo</w:t>
      </w:r>
      <w:proofErr w:type="spellEnd"/>
      <w:r w:rsidRPr="00C134B6">
        <w:rPr>
          <w:rFonts w:ascii="Times New Roman" w:eastAsia="Arial Unicode MS" w:hAnsi="Times New Roman" w:cs="Times New Roman"/>
          <w:sz w:val="24"/>
          <w:szCs w:val="24"/>
          <w:lang w:eastAsia="en-US"/>
        </w:rPr>
        <w:t>. Bo.</w:t>
      </w:r>
    </w:p>
    <w:p w:rsidR="00C134B6" w:rsidRPr="00C134B6" w:rsidRDefault="00C134B6" w:rsidP="00C134B6">
      <w:pPr>
        <w:spacing w:after="0" w:line="240" w:lineRule="auto"/>
        <w:rPr>
          <w:rFonts w:ascii="Times New Roman" w:eastAsia="Arial Unicode MS" w:hAnsi="Times New Roman" w:cs="Times New Roman"/>
          <w:sz w:val="24"/>
          <w:szCs w:val="24"/>
          <w:lang w:eastAsia="en-US"/>
        </w:rPr>
      </w:pPr>
    </w:p>
    <w:p w:rsidR="00C134B6" w:rsidRPr="00C134B6" w:rsidRDefault="00C134B6" w:rsidP="00C134B6">
      <w:pPr>
        <w:spacing w:after="0" w:line="240" w:lineRule="auto"/>
        <w:rPr>
          <w:rFonts w:ascii="Times New Roman" w:eastAsia="Arial Unicode MS" w:hAnsi="Times New Roman" w:cs="Times New Roman"/>
          <w:sz w:val="24"/>
          <w:szCs w:val="24"/>
          <w:lang w:eastAsia="en-US"/>
        </w:rPr>
      </w:pPr>
    </w:p>
    <w:p w:rsidR="00C134B6" w:rsidRPr="00C134B6" w:rsidRDefault="00C134B6" w:rsidP="00C134B6">
      <w:pPr>
        <w:jc w:val="both"/>
        <w:rPr>
          <w:rFonts w:ascii="Calibri" w:eastAsia="Calibri" w:hAnsi="Calibri" w:cs="Times New Roman"/>
          <w:b/>
          <w:sz w:val="18"/>
          <w:szCs w:val="18"/>
          <w:lang w:eastAsia="en-US"/>
        </w:rPr>
      </w:pPr>
      <w:r w:rsidRPr="00C134B6">
        <w:rPr>
          <w:rFonts w:ascii="Times New Roman" w:eastAsia="Arial Unicode MS" w:hAnsi="Times New Roman" w:cs="Times New Roman"/>
          <w:sz w:val="24"/>
          <w:szCs w:val="24"/>
          <w:lang w:eastAsia="en-US"/>
        </w:rPr>
        <w:t>LIC. THOMAS AGUILAR MENDOZA</w:t>
      </w:r>
      <w:r w:rsidRPr="00C134B6">
        <w:rPr>
          <w:rFonts w:ascii="Times New Roman" w:eastAsia="Arial Unicode MS" w:hAnsi="Times New Roman" w:cs="Times New Roman"/>
          <w:sz w:val="24"/>
          <w:szCs w:val="24"/>
          <w:lang w:eastAsia="en-US"/>
        </w:rPr>
        <w:tab/>
      </w:r>
      <w:r w:rsidRPr="00C134B6">
        <w:rPr>
          <w:rFonts w:ascii="Times New Roman" w:eastAsia="Arial Unicode MS" w:hAnsi="Times New Roman" w:cs="Times New Roman"/>
          <w:sz w:val="24"/>
          <w:szCs w:val="24"/>
          <w:lang w:eastAsia="en-US"/>
        </w:rPr>
        <w:tab/>
      </w:r>
      <w:r w:rsidRPr="00C134B6">
        <w:rPr>
          <w:rFonts w:ascii="Times New Roman" w:eastAsia="Arial Unicode MS" w:hAnsi="Times New Roman" w:cs="Times New Roman"/>
          <w:sz w:val="24"/>
          <w:szCs w:val="24"/>
          <w:lang w:eastAsia="en-US"/>
        </w:rPr>
        <w:tab/>
        <w:t xml:space="preserve">                                                     LIC.  RICARDO DORANTES JIMENEZ</w:t>
      </w:r>
    </w:p>
    <w:p w:rsidR="00C134B6" w:rsidRPr="00C134B6" w:rsidRDefault="00C134B6" w:rsidP="00C134B6">
      <w:pPr>
        <w:jc w:val="both"/>
        <w:rPr>
          <w:rFonts w:ascii="Calibri" w:eastAsia="Calibri" w:hAnsi="Calibri" w:cs="Times New Roman"/>
          <w:b/>
          <w:sz w:val="18"/>
          <w:szCs w:val="18"/>
          <w:lang w:eastAsia="en-US"/>
        </w:rPr>
      </w:pPr>
    </w:p>
    <w:p w:rsidR="00C134B6" w:rsidRPr="00C134B6" w:rsidRDefault="00C134B6" w:rsidP="00EF629E">
      <w:pPr>
        <w:jc w:val="both"/>
        <w:rPr>
          <w:b/>
        </w:rPr>
      </w:pPr>
    </w:p>
    <w:sectPr w:rsidR="00C134B6" w:rsidRPr="00C134B6" w:rsidSect="0086030A">
      <w:headerReference w:type="default"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22" w:rsidRDefault="00E13222" w:rsidP="005F4F59">
      <w:pPr>
        <w:spacing w:after="0" w:line="240" w:lineRule="auto"/>
      </w:pPr>
      <w:r>
        <w:separator/>
      </w:r>
    </w:p>
  </w:endnote>
  <w:endnote w:type="continuationSeparator" w:id="0">
    <w:p w:rsidR="00E13222" w:rsidRDefault="00E13222" w:rsidP="005F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02472"/>
      <w:docPartObj>
        <w:docPartGallery w:val="Page Numbers (Bottom of Page)"/>
        <w:docPartUnique/>
      </w:docPartObj>
    </w:sdtPr>
    <w:sdtEndPr/>
    <w:sdtContent>
      <w:p w:rsidR="004F7E0E" w:rsidRDefault="004F7E0E">
        <w:pPr>
          <w:pStyle w:val="Piedepgina"/>
          <w:jc w:val="right"/>
        </w:pPr>
        <w:r>
          <w:fldChar w:fldCharType="begin"/>
        </w:r>
        <w:r>
          <w:instrText>PAGE   \* MERGEFORMAT</w:instrText>
        </w:r>
        <w:r>
          <w:fldChar w:fldCharType="separate"/>
        </w:r>
        <w:r w:rsidR="00C134B6" w:rsidRPr="00C134B6">
          <w:rPr>
            <w:noProof/>
            <w:lang w:val="es-ES"/>
          </w:rPr>
          <w:t>18</w:t>
        </w:r>
        <w:r>
          <w:fldChar w:fldCharType="end"/>
        </w:r>
      </w:p>
    </w:sdtContent>
  </w:sdt>
  <w:p w:rsidR="004F7E0E" w:rsidRDefault="004F7E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22" w:rsidRDefault="00E13222" w:rsidP="005F4F59">
      <w:pPr>
        <w:spacing w:after="0" w:line="240" w:lineRule="auto"/>
      </w:pPr>
      <w:r>
        <w:separator/>
      </w:r>
    </w:p>
  </w:footnote>
  <w:footnote w:type="continuationSeparator" w:id="0">
    <w:p w:rsidR="00E13222" w:rsidRDefault="00E13222" w:rsidP="005F4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0E" w:rsidRDefault="004F7E0E" w:rsidP="00EC4B47">
    <w:pPr>
      <w:pStyle w:val="Encabezado"/>
      <w:jc w:val="center"/>
    </w:pPr>
    <w:r>
      <w:rPr>
        <w:noProof/>
      </w:rPr>
      <w:drawing>
        <wp:inline distT="0" distB="0" distL="0" distR="0" wp14:anchorId="0DF35094">
          <wp:extent cx="8372475" cy="10610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2475" cy="1061085"/>
                  </a:xfrm>
                  <a:prstGeom prst="rect">
                    <a:avLst/>
                  </a:prstGeom>
                  <a:noFill/>
                </pic:spPr>
              </pic:pic>
            </a:graphicData>
          </a:graphic>
        </wp:inline>
      </w:drawing>
    </w:r>
  </w:p>
  <w:p w:rsidR="004F7E0E" w:rsidRDefault="004F7E0E" w:rsidP="00EC4B4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B27"/>
    <w:multiLevelType w:val="hybridMultilevel"/>
    <w:tmpl w:val="EA6CB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6B3FC4"/>
    <w:multiLevelType w:val="hybridMultilevel"/>
    <w:tmpl w:val="E3CEF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4C64BC"/>
    <w:multiLevelType w:val="hybridMultilevel"/>
    <w:tmpl w:val="7804C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E3F2AFC"/>
    <w:multiLevelType w:val="hybridMultilevel"/>
    <w:tmpl w:val="F34C4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192EE1"/>
    <w:multiLevelType w:val="hybridMultilevel"/>
    <w:tmpl w:val="416C1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A46555"/>
    <w:multiLevelType w:val="hybridMultilevel"/>
    <w:tmpl w:val="98384104"/>
    <w:lvl w:ilvl="0" w:tplc="A2DEB4F8">
      <w:start w:val="1"/>
      <w:numFmt w:val="bullet"/>
      <w:lvlText w:val=""/>
      <w:lvlJc w:val="left"/>
      <w:pPr>
        <w:tabs>
          <w:tab w:val="num" w:pos="720"/>
        </w:tabs>
        <w:ind w:left="720" w:hanging="360"/>
      </w:pPr>
      <w:rPr>
        <w:rFonts w:ascii="Wingdings" w:hAnsi="Wingdings" w:hint="default"/>
      </w:rPr>
    </w:lvl>
    <w:lvl w:ilvl="1" w:tplc="2A240A26" w:tentative="1">
      <w:start w:val="1"/>
      <w:numFmt w:val="bullet"/>
      <w:lvlText w:val=""/>
      <w:lvlJc w:val="left"/>
      <w:pPr>
        <w:tabs>
          <w:tab w:val="num" w:pos="1440"/>
        </w:tabs>
        <w:ind w:left="1440" w:hanging="360"/>
      </w:pPr>
      <w:rPr>
        <w:rFonts w:ascii="Wingdings" w:hAnsi="Wingdings" w:hint="default"/>
      </w:rPr>
    </w:lvl>
    <w:lvl w:ilvl="2" w:tplc="CA363312" w:tentative="1">
      <w:start w:val="1"/>
      <w:numFmt w:val="bullet"/>
      <w:lvlText w:val=""/>
      <w:lvlJc w:val="left"/>
      <w:pPr>
        <w:tabs>
          <w:tab w:val="num" w:pos="2160"/>
        </w:tabs>
        <w:ind w:left="2160" w:hanging="360"/>
      </w:pPr>
      <w:rPr>
        <w:rFonts w:ascii="Wingdings" w:hAnsi="Wingdings" w:hint="default"/>
      </w:rPr>
    </w:lvl>
    <w:lvl w:ilvl="3" w:tplc="95460CB0" w:tentative="1">
      <w:start w:val="1"/>
      <w:numFmt w:val="bullet"/>
      <w:lvlText w:val=""/>
      <w:lvlJc w:val="left"/>
      <w:pPr>
        <w:tabs>
          <w:tab w:val="num" w:pos="2880"/>
        </w:tabs>
        <w:ind w:left="2880" w:hanging="360"/>
      </w:pPr>
      <w:rPr>
        <w:rFonts w:ascii="Wingdings" w:hAnsi="Wingdings" w:hint="default"/>
      </w:rPr>
    </w:lvl>
    <w:lvl w:ilvl="4" w:tplc="16E0D530" w:tentative="1">
      <w:start w:val="1"/>
      <w:numFmt w:val="bullet"/>
      <w:lvlText w:val=""/>
      <w:lvlJc w:val="left"/>
      <w:pPr>
        <w:tabs>
          <w:tab w:val="num" w:pos="3600"/>
        </w:tabs>
        <w:ind w:left="3600" w:hanging="360"/>
      </w:pPr>
      <w:rPr>
        <w:rFonts w:ascii="Wingdings" w:hAnsi="Wingdings" w:hint="default"/>
      </w:rPr>
    </w:lvl>
    <w:lvl w:ilvl="5" w:tplc="23F240BE" w:tentative="1">
      <w:start w:val="1"/>
      <w:numFmt w:val="bullet"/>
      <w:lvlText w:val=""/>
      <w:lvlJc w:val="left"/>
      <w:pPr>
        <w:tabs>
          <w:tab w:val="num" w:pos="4320"/>
        </w:tabs>
        <w:ind w:left="4320" w:hanging="360"/>
      </w:pPr>
      <w:rPr>
        <w:rFonts w:ascii="Wingdings" w:hAnsi="Wingdings" w:hint="default"/>
      </w:rPr>
    </w:lvl>
    <w:lvl w:ilvl="6" w:tplc="31645168" w:tentative="1">
      <w:start w:val="1"/>
      <w:numFmt w:val="bullet"/>
      <w:lvlText w:val=""/>
      <w:lvlJc w:val="left"/>
      <w:pPr>
        <w:tabs>
          <w:tab w:val="num" w:pos="5040"/>
        </w:tabs>
        <w:ind w:left="5040" w:hanging="360"/>
      </w:pPr>
      <w:rPr>
        <w:rFonts w:ascii="Wingdings" w:hAnsi="Wingdings" w:hint="default"/>
      </w:rPr>
    </w:lvl>
    <w:lvl w:ilvl="7" w:tplc="55C2871E" w:tentative="1">
      <w:start w:val="1"/>
      <w:numFmt w:val="bullet"/>
      <w:lvlText w:val=""/>
      <w:lvlJc w:val="left"/>
      <w:pPr>
        <w:tabs>
          <w:tab w:val="num" w:pos="5760"/>
        </w:tabs>
        <w:ind w:left="5760" w:hanging="360"/>
      </w:pPr>
      <w:rPr>
        <w:rFonts w:ascii="Wingdings" w:hAnsi="Wingdings" w:hint="default"/>
      </w:rPr>
    </w:lvl>
    <w:lvl w:ilvl="8" w:tplc="318891EA" w:tentative="1">
      <w:start w:val="1"/>
      <w:numFmt w:val="bullet"/>
      <w:lvlText w:val=""/>
      <w:lvlJc w:val="left"/>
      <w:pPr>
        <w:tabs>
          <w:tab w:val="num" w:pos="6480"/>
        </w:tabs>
        <w:ind w:left="6480" w:hanging="360"/>
      </w:pPr>
      <w:rPr>
        <w:rFonts w:ascii="Wingdings" w:hAnsi="Wingdings" w:hint="default"/>
      </w:rPr>
    </w:lvl>
  </w:abstractNum>
  <w:abstractNum w:abstractNumId="6">
    <w:nsid w:val="624B110D"/>
    <w:multiLevelType w:val="hybridMultilevel"/>
    <w:tmpl w:val="94CE0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93A7A7C"/>
    <w:multiLevelType w:val="hybridMultilevel"/>
    <w:tmpl w:val="98DE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40E3E"/>
    <w:rsid w:val="000475C1"/>
    <w:rsid w:val="00057615"/>
    <w:rsid w:val="000E0289"/>
    <w:rsid w:val="000F053F"/>
    <w:rsid w:val="000F6A73"/>
    <w:rsid w:val="000F7861"/>
    <w:rsid w:val="00126D56"/>
    <w:rsid w:val="001968CC"/>
    <w:rsid w:val="001B1A08"/>
    <w:rsid w:val="001D4295"/>
    <w:rsid w:val="001D5B2B"/>
    <w:rsid w:val="0020377B"/>
    <w:rsid w:val="00224D3F"/>
    <w:rsid w:val="00251753"/>
    <w:rsid w:val="0025232C"/>
    <w:rsid w:val="002542B0"/>
    <w:rsid w:val="00292DB7"/>
    <w:rsid w:val="002A0426"/>
    <w:rsid w:val="002E42E7"/>
    <w:rsid w:val="002F34FF"/>
    <w:rsid w:val="00340C27"/>
    <w:rsid w:val="00344FA3"/>
    <w:rsid w:val="00351FC7"/>
    <w:rsid w:val="0035573C"/>
    <w:rsid w:val="003909AD"/>
    <w:rsid w:val="003A5EBF"/>
    <w:rsid w:val="003F2053"/>
    <w:rsid w:val="00406E9E"/>
    <w:rsid w:val="00453A18"/>
    <w:rsid w:val="004A13D7"/>
    <w:rsid w:val="004C3DC4"/>
    <w:rsid w:val="004E4AB6"/>
    <w:rsid w:val="004F7E0E"/>
    <w:rsid w:val="005118AD"/>
    <w:rsid w:val="005121DE"/>
    <w:rsid w:val="005136F4"/>
    <w:rsid w:val="00546140"/>
    <w:rsid w:val="00586D04"/>
    <w:rsid w:val="005F09C2"/>
    <w:rsid w:val="005F4F59"/>
    <w:rsid w:val="006424D7"/>
    <w:rsid w:val="006571CF"/>
    <w:rsid w:val="00657231"/>
    <w:rsid w:val="006939A1"/>
    <w:rsid w:val="006C2CC1"/>
    <w:rsid w:val="00713CB6"/>
    <w:rsid w:val="007740CA"/>
    <w:rsid w:val="007A3148"/>
    <w:rsid w:val="007B43B1"/>
    <w:rsid w:val="007D49AC"/>
    <w:rsid w:val="008076EF"/>
    <w:rsid w:val="008375A5"/>
    <w:rsid w:val="0086030A"/>
    <w:rsid w:val="00883FE3"/>
    <w:rsid w:val="008D4E62"/>
    <w:rsid w:val="0090013D"/>
    <w:rsid w:val="009413BC"/>
    <w:rsid w:val="009444C1"/>
    <w:rsid w:val="009A386D"/>
    <w:rsid w:val="009B3CE4"/>
    <w:rsid w:val="009C3233"/>
    <w:rsid w:val="009D22FA"/>
    <w:rsid w:val="00A866DB"/>
    <w:rsid w:val="00AA0D16"/>
    <w:rsid w:val="00AF658B"/>
    <w:rsid w:val="00AF7535"/>
    <w:rsid w:val="00B723AA"/>
    <w:rsid w:val="00BC5021"/>
    <w:rsid w:val="00BF2760"/>
    <w:rsid w:val="00C134B6"/>
    <w:rsid w:val="00C17F83"/>
    <w:rsid w:val="00C24783"/>
    <w:rsid w:val="00C44B0C"/>
    <w:rsid w:val="00C62A10"/>
    <w:rsid w:val="00C76D5F"/>
    <w:rsid w:val="00D00B55"/>
    <w:rsid w:val="00D03E75"/>
    <w:rsid w:val="00D522F8"/>
    <w:rsid w:val="00D618BE"/>
    <w:rsid w:val="00D855BF"/>
    <w:rsid w:val="00DE2A64"/>
    <w:rsid w:val="00DF2BB3"/>
    <w:rsid w:val="00E13222"/>
    <w:rsid w:val="00E25EB0"/>
    <w:rsid w:val="00E774C4"/>
    <w:rsid w:val="00EC4B47"/>
    <w:rsid w:val="00EC4C51"/>
    <w:rsid w:val="00EF1F0E"/>
    <w:rsid w:val="00EF629E"/>
    <w:rsid w:val="00F0639A"/>
    <w:rsid w:val="00F710A2"/>
    <w:rsid w:val="00FC1AB8"/>
    <w:rsid w:val="00FF3D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03E75"/>
  </w:style>
  <w:style w:type="character" w:styleId="Textoennegrita">
    <w:name w:val="Strong"/>
    <w:basedOn w:val="Fuentedeprrafopredeter"/>
    <w:uiPriority w:val="22"/>
    <w:qFormat/>
    <w:rsid w:val="00D03E75"/>
    <w:rPr>
      <w:b/>
      <w:bCs/>
    </w:rPr>
  </w:style>
  <w:style w:type="paragraph" w:styleId="Textodeglobo">
    <w:name w:val="Balloon Text"/>
    <w:basedOn w:val="Normal"/>
    <w:link w:val="TextodegloboCar"/>
    <w:uiPriority w:val="99"/>
    <w:semiHidden/>
    <w:unhideWhenUsed/>
    <w:rsid w:val="00224D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D3F"/>
    <w:rPr>
      <w:rFonts w:ascii="Segoe UI" w:hAnsi="Segoe UI" w:cs="Segoe UI"/>
      <w:sz w:val="18"/>
      <w:szCs w:val="18"/>
    </w:rPr>
  </w:style>
  <w:style w:type="paragraph" w:styleId="Encabezado">
    <w:name w:val="header"/>
    <w:basedOn w:val="Normal"/>
    <w:link w:val="EncabezadoCar"/>
    <w:uiPriority w:val="99"/>
    <w:unhideWhenUsed/>
    <w:rsid w:val="005F4F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F59"/>
  </w:style>
  <w:style w:type="paragraph" w:styleId="Piedepgina">
    <w:name w:val="footer"/>
    <w:basedOn w:val="Normal"/>
    <w:link w:val="PiedepginaCar"/>
    <w:uiPriority w:val="99"/>
    <w:unhideWhenUsed/>
    <w:rsid w:val="005F4F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F59"/>
  </w:style>
  <w:style w:type="paragraph" w:styleId="Prrafodelista">
    <w:name w:val="List Paragraph"/>
    <w:basedOn w:val="Normal"/>
    <w:uiPriority w:val="34"/>
    <w:qFormat/>
    <w:rsid w:val="005F4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03E75"/>
  </w:style>
  <w:style w:type="character" w:styleId="Textoennegrita">
    <w:name w:val="Strong"/>
    <w:basedOn w:val="Fuentedeprrafopredeter"/>
    <w:uiPriority w:val="22"/>
    <w:qFormat/>
    <w:rsid w:val="00D03E75"/>
    <w:rPr>
      <w:b/>
      <w:bCs/>
    </w:rPr>
  </w:style>
  <w:style w:type="paragraph" w:styleId="Textodeglobo">
    <w:name w:val="Balloon Text"/>
    <w:basedOn w:val="Normal"/>
    <w:link w:val="TextodegloboCar"/>
    <w:uiPriority w:val="99"/>
    <w:semiHidden/>
    <w:unhideWhenUsed/>
    <w:rsid w:val="00224D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D3F"/>
    <w:rPr>
      <w:rFonts w:ascii="Segoe UI" w:hAnsi="Segoe UI" w:cs="Segoe UI"/>
      <w:sz w:val="18"/>
      <w:szCs w:val="18"/>
    </w:rPr>
  </w:style>
  <w:style w:type="paragraph" w:styleId="Encabezado">
    <w:name w:val="header"/>
    <w:basedOn w:val="Normal"/>
    <w:link w:val="EncabezadoCar"/>
    <w:uiPriority w:val="99"/>
    <w:unhideWhenUsed/>
    <w:rsid w:val="005F4F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F59"/>
  </w:style>
  <w:style w:type="paragraph" w:styleId="Piedepgina">
    <w:name w:val="footer"/>
    <w:basedOn w:val="Normal"/>
    <w:link w:val="PiedepginaCar"/>
    <w:uiPriority w:val="99"/>
    <w:unhideWhenUsed/>
    <w:rsid w:val="005F4F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F59"/>
  </w:style>
  <w:style w:type="paragraph" w:styleId="Prrafodelista">
    <w:name w:val="List Paragraph"/>
    <w:basedOn w:val="Normal"/>
    <w:uiPriority w:val="34"/>
    <w:qFormat/>
    <w:rsid w:val="005F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41172">
      <w:bodyDiv w:val="1"/>
      <w:marLeft w:val="0"/>
      <w:marRight w:val="0"/>
      <w:marTop w:val="0"/>
      <w:marBottom w:val="0"/>
      <w:divBdr>
        <w:top w:val="none" w:sz="0" w:space="0" w:color="auto"/>
        <w:left w:val="none" w:sz="0" w:space="0" w:color="auto"/>
        <w:bottom w:val="none" w:sz="0" w:space="0" w:color="auto"/>
        <w:right w:val="none" w:sz="0" w:space="0" w:color="auto"/>
      </w:divBdr>
      <w:divsChild>
        <w:div w:id="541140969">
          <w:marLeft w:val="274"/>
          <w:marRight w:val="0"/>
          <w:marTop w:val="160"/>
          <w:marBottom w:val="0"/>
          <w:divBdr>
            <w:top w:val="none" w:sz="0" w:space="0" w:color="auto"/>
            <w:left w:val="none" w:sz="0" w:space="0" w:color="auto"/>
            <w:bottom w:val="none" w:sz="0" w:space="0" w:color="auto"/>
            <w:right w:val="none" w:sz="0" w:space="0" w:color="auto"/>
          </w:divBdr>
        </w:div>
      </w:divsChild>
    </w:div>
    <w:div w:id="14203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5562E-9366-4DEB-8769-66D79E2A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18</Pages>
  <Words>3864</Words>
  <Characters>21257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10</cp:revision>
  <cp:lastPrinted>2017-02-01T22:38:00Z</cp:lastPrinted>
  <dcterms:created xsi:type="dcterms:W3CDTF">2016-11-08T15:24:00Z</dcterms:created>
  <dcterms:modified xsi:type="dcterms:W3CDTF">2017-02-01T22:40:00Z</dcterms:modified>
</cp:coreProperties>
</file>